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7D79A2" w14:textId="042CA4C9" w:rsidR="003B28CB" w:rsidRDefault="00341E70" w:rsidP="003B28CB">
      <w:pPr>
        <w:pStyle w:val="NewDate"/>
        <w:rPr>
          <w:noProof w:val="0"/>
        </w:rPr>
      </w:pPr>
      <w:bookmarkStart w:id="0" w:name="_GoBack"/>
      <w:bookmarkEnd w:id="0"/>
      <w:r>
        <w:rPr>
          <w:noProof w:val="0"/>
        </w:rPr>
        <w:t>March</w:t>
      </w:r>
      <w:r w:rsidR="005A252C">
        <w:rPr>
          <w:noProof w:val="0"/>
        </w:rPr>
        <w:t xml:space="preserve"> 2017</w:t>
      </w:r>
    </w:p>
    <w:p w14:paraId="3FBA6359" w14:textId="77777777" w:rsidR="00E85AD3" w:rsidRPr="006266CF" w:rsidRDefault="00E85AD3" w:rsidP="003B28CB">
      <w:pPr>
        <w:pStyle w:val="NewDate"/>
        <w:rPr>
          <w:noProof w:val="0"/>
        </w:rPr>
      </w:pPr>
    </w:p>
    <w:p w14:paraId="1BB02C19" w14:textId="77777777" w:rsidR="00F9147A" w:rsidRPr="006266CF" w:rsidRDefault="005A252C" w:rsidP="005A252C">
      <w:pPr>
        <w:pStyle w:val="NewTitle"/>
        <w:ind w:left="0"/>
        <w:rPr>
          <w:noProof w:val="0"/>
        </w:rPr>
      </w:pPr>
      <w:r>
        <w:rPr>
          <w:noProof w:val="0"/>
        </w:rPr>
        <w:t>Security &amp; Protection of Ahmadiyya in Indonesia</w:t>
      </w:r>
    </w:p>
    <w:p w14:paraId="5098724E" w14:textId="77777777" w:rsidR="003B28CB" w:rsidRPr="005A252C" w:rsidRDefault="005A252C" w:rsidP="00E46FC5">
      <w:pPr>
        <w:pStyle w:val="NewSubTitle"/>
        <w:rPr>
          <w:noProof w:val="0"/>
          <w:sz w:val="36"/>
          <w:szCs w:val="36"/>
        </w:rPr>
      </w:pPr>
      <w:r w:rsidRPr="005A252C">
        <w:rPr>
          <w:noProof w:val="0"/>
          <w:sz w:val="36"/>
          <w:szCs w:val="36"/>
        </w:rPr>
        <w:t>Policy tools to reduce radicalization against Ahmadiyya</w:t>
      </w:r>
    </w:p>
    <w:p w14:paraId="0365EF29" w14:textId="77777777" w:rsidR="003B28CB" w:rsidRPr="006266CF" w:rsidRDefault="003B28CB" w:rsidP="00817BC9">
      <w:pPr>
        <w:pStyle w:val="NewBodyText"/>
      </w:pPr>
    </w:p>
    <w:p w14:paraId="78949CAE" w14:textId="77777777" w:rsidR="003B28CB" w:rsidRPr="006266CF" w:rsidRDefault="003B28CB" w:rsidP="00817BC9">
      <w:pPr>
        <w:pStyle w:val="NewBodyText"/>
      </w:pPr>
    </w:p>
    <w:p w14:paraId="784BC687" w14:textId="77777777" w:rsidR="003B28CB" w:rsidRPr="006266CF" w:rsidRDefault="003B28CB" w:rsidP="00817BC9">
      <w:pPr>
        <w:pStyle w:val="NewBodyText"/>
      </w:pPr>
    </w:p>
    <w:p w14:paraId="0E0C2B0C" w14:textId="77777777" w:rsidR="003B28CB" w:rsidRPr="006266CF" w:rsidRDefault="003B28CB" w:rsidP="00817BC9">
      <w:pPr>
        <w:pStyle w:val="NewBodyText"/>
      </w:pPr>
    </w:p>
    <w:p w14:paraId="03DC2489" w14:textId="77777777" w:rsidR="003B28CB" w:rsidRPr="006266CF" w:rsidRDefault="003B28CB" w:rsidP="00817BC9">
      <w:pPr>
        <w:pStyle w:val="NewBodyText"/>
      </w:pPr>
    </w:p>
    <w:p w14:paraId="2F723F96" w14:textId="1EC12199" w:rsidR="003B28CB" w:rsidRPr="006266CF" w:rsidRDefault="003B28CB" w:rsidP="00817BC9">
      <w:pPr>
        <w:pStyle w:val="NewBodyText"/>
      </w:pPr>
    </w:p>
    <w:p w14:paraId="4CFE3096" w14:textId="77777777" w:rsidR="003B28CB" w:rsidRPr="006266CF" w:rsidRDefault="003B28CB" w:rsidP="00817BC9">
      <w:pPr>
        <w:pStyle w:val="NewBodyText"/>
      </w:pPr>
    </w:p>
    <w:p w14:paraId="4E9AD531" w14:textId="77777777" w:rsidR="003B28CB" w:rsidRPr="006266CF" w:rsidRDefault="003B28CB" w:rsidP="00817BC9">
      <w:pPr>
        <w:pStyle w:val="NewBodyText"/>
      </w:pPr>
    </w:p>
    <w:p w14:paraId="24F18574" w14:textId="722B2B5B" w:rsidR="003B28CB" w:rsidRPr="006266CF" w:rsidRDefault="003B28CB" w:rsidP="00B42E35">
      <w:pPr>
        <w:pStyle w:val="NewBodyText"/>
        <w:ind w:left="-990" w:right="-826"/>
      </w:pPr>
    </w:p>
    <w:p w14:paraId="10A33E30" w14:textId="1EBF6E50" w:rsidR="00B758E5" w:rsidRDefault="00B758E5" w:rsidP="00817BC9">
      <w:pPr>
        <w:pStyle w:val="NewBodyText"/>
      </w:pPr>
    </w:p>
    <w:p w14:paraId="30F7C52F" w14:textId="5B7C03B7" w:rsidR="00573B71" w:rsidRDefault="00573B71" w:rsidP="00817BC9">
      <w:pPr>
        <w:pStyle w:val="NewBodyText"/>
      </w:pPr>
    </w:p>
    <w:p w14:paraId="3FA76663" w14:textId="463D7D17" w:rsidR="00573B71" w:rsidRDefault="00573B71" w:rsidP="00817BC9">
      <w:pPr>
        <w:pStyle w:val="NewBodyText"/>
      </w:pPr>
    </w:p>
    <w:p w14:paraId="3FF4C6E1" w14:textId="7E13C56D" w:rsidR="00D54615" w:rsidRDefault="00D54615" w:rsidP="00817BC9">
      <w:pPr>
        <w:pStyle w:val="NewBodyText"/>
      </w:pPr>
    </w:p>
    <w:p w14:paraId="5789E59A" w14:textId="603A1A49" w:rsidR="00D54615" w:rsidRDefault="00D54615" w:rsidP="00817BC9">
      <w:pPr>
        <w:pStyle w:val="NewBodyText"/>
      </w:pPr>
    </w:p>
    <w:p w14:paraId="300F5E74" w14:textId="58A74C40" w:rsidR="00D54615" w:rsidRDefault="00D54615" w:rsidP="00817BC9">
      <w:pPr>
        <w:pStyle w:val="NewBodyText"/>
      </w:pPr>
    </w:p>
    <w:p w14:paraId="2525115D" w14:textId="1A17D5A9" w:rsidR="00D54615" w:rsidRDefault="00D54615" w:rsidP="00817BC9">
      <w:pPr>
        <w:pStyle w:val="NewBodyText"/>
      </w:pPr>
    </w:p>
    <w:p w14:paraId="1F6C62B4" w14:textId="5E01B950" w:rsidR="00D54615" w:rsidRDefault="00D54615" w:rsidP="00817BC9">
      <w:pPr>
        <w:pStyle w:val="NewBodyText"/>
      </w:pPr>
    </w:p>
    <w:p w14:paraId="032F0DB4" w14:textId="3F2D6B7D" w:rsidR="00D54615" w:rsidRDefault="00D54615" w:rsidP="00817BC9">
      <w:pPr>
        <w:pStyle w:val="NewBodyText"/>
      </w:pPr>
    </w:p>
    <w:p w14:paraId="4C815D9F" w14:textId="19F18AFC" w:rsidR="00D54615" w:rsidRDefault="00D54615" w:rsidP="00817BC9">
      <w:pPr>
        <w:pStyle w:val="NewBodyText"/>
      </w:pPr>
    </w:p>
    <w:p w14:paraId="626DA070" w14:textId="22B0E00D" w:rsidR="00D54615" w:rsidRDefault="00D54615" w:rsidP="00817BC9">
      <w:pPr>
        <w:pStyle w:val="NewBodyText"/>
      </w:pPr>
    </w:p>
    <w:p w14:paraId="769013C2" w14:textId="1052ECCB" w:rsidR="00D54615" w:rsidRDefault="00D54615" w:rsidP="00817BC9">
      <w:pPr>
        <w:pStyle w:val="NewBodyText"/>
      </w:pPr>
    </w:p>
    <w:p w14:paraId="5852F033" w14:textId="00D5C72C" w:rsidR="00D54615" w:rsidRDefault="00D54615" w:rsidP="00817BC9">
      <w:pPr>
        <w:pStyle w:val="NewBodyText"/>
      </w:pPr>
    </w:p>
    <w:p w14:paraId="24469304" w14:textId="4282C47D" w:rsidR="00D54615" w:rsidRDefault="00D54615" w:rsidP="00817BC9">
      <w:pPr>
        <w:pStyle w:val="NewBodyText"/>
      </w:pPr>
    </w:p>
    <w:p w14:paraId="2DB8D20E" w14:textId="265F2EC4" w:rsidR="00D54615" w:rsidRDefault="00D54615" w:rsidP="00817BC9">
      <w:pPr>
        <w:pStyle w:val="NewBodyText"/>
      </w:pPr>
    </w:p>
    <w:p w14:paraId="2C91DA37" w14:textId="77777777" w:rsidR="00D54615" w:rsidRDefault="00D54615" w:rsidP="00817BC9">
      <w:pPr>
        <w:pStyle w:val="NewBodyText"/>
      </w:pPr>
    </w:p>
    <w:p w14:paraId="10744289" w14:textId="7521A53F" w:rsidR="00573B71" w:rsidRDefault="00573B71" w:rsidP="00817BC9">
      <w:pPr>
        <w:pStyle w:val="NewBodyText"/>
      </w:pPr>
    </w:p>
    <w:p w14:paraId="26CD66D0" w14:textId="77777777" w:rsidR="00573B71" w:rsidRPr="006266CF" w:rsidRDefault="00573B71" w:rsidP="00817BC9">
      <w:pPr>
        <w:pStyle w:val="NewBodyText"/>
      </w:pPr>
    </w:p>
    <w:p w14:paraId="619567EA" w14:textId="77777777" w:rsidR="00B758E5" w:rsidRPr="006266CF" w:rsidRDefault="007B5375" w:rsidP="007B5375">
      <w:pPr>
        <w:pStyle w:val="NewBodyText"/>
        <w:ind w:left="1701" w:right="1984"/>
        <w:jc w:val="center"/>
        <w:rPr>
          <w:color w:val="FFFFFF" w:themeColor="background1"/>
        </w:rPr>
      </w:pPr>
      <w:r w:rsidRPr="006266CF">
        <w:rPr>
          <w:color w:val="FFFFFF" w:themeColor="background1"/>
        </w:rPr>
        <w:t>This publication is distributed under the Creative Commons Attribution-</w:t>
      </w:r>
      <w:proofErr w:type="spellStart"/>
      <w:r w:rsidRPr="006266CF">
        <w:rPr>
          <w:color w:val="FFFFFF" w:themeColor="background1"/>
        </w:rPr>
        <w:t>ShareAlike</w:t>
      </w:r>
      <w:proofErr w:type="spellEnd"/>
      <w:r w:rsidRPr="006266CF">
        <w:rPr>
          <w:color w:val="FFFFFF" w:themeColor="background1"/>
        </w:rPr>
        <w:t xml:space="preserve"> 4.0 International license:</w:t>
      </w:r>
    </w:p>
    <w:p w14:paraId="3BC069DA" w14:textId="77777777" w:rsidR="007B5375" w:rsidRPr="006266CF" w:rsidRDefault="007B5375" w:rsidP="007B5375">
      <w:pPr>
        <w:pStyle w:val="NewBodyText"/>
        <w:ind w:left="1701" w:right="1984"/>
        <w:jc w:val="center"/>
        <w:rPr>
          <w:color w:val="FFFFFF" w:themeColor="background1"/>
        </w:rPr>
      </w:pPr>
      <w:r w:rsidRPr="006266CF">
        <w:rPr>
          <w:color w:val="FFFFFF" w:themeColor="background1"/>
        </w:rPr>
        <w:t>http://creativecommons.org/licenses/by-sa/4.0/</w:t>
      </w:r>
    </w:p>
    <w:p w14:paraId="5FA9B4F9" w14:textId="77777777" w:rsidR="007B5375" w:rsidRPr="006266CF" w:rsidRDefault="007B5375" w:rsidP="007B5375">
      <w:pPr>
        <w:pStyle w:val="NewBodyText"/>
        <w:ind w:left="1701" w:right="1984"/>
        <w:jc w:val="center"/>
      </w:pPr>
      <w:r w:rsidRPr="006266CF">
        <w:rPr>
          <w:noProof/>
        </w:rPr>
        <w:drawing>
          <wp:inline distT="0" distB="0" distL="0" distR="0" wp14:anchorId="68C6C911" wp14:editId="2D1C8697">
            <wp:extent cx="1752600" cy="419100"/>
            <wp:effectExtent l="0" t="0" r="0" b="0"/>
            <wp:docPr id="11" name="Picture 11" descr="F:\FS\Marketing and Design\original images\cc.logo.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S\Marketing and Design\original images\cc.logo.lar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7103" cy="422568"/>
                    </a:xfrm>
                    <a:prstGeom prst="rect">
                      <a:avLst/>
                    </a:prstGeom>
                    <a:noFill/>
                    <a:ln>
                      <a:noFill/>
                    </a:ln>
                  </pic:spPr>
                </pic:pic>
              </a:graphicData>
            </a:graphic>
          </wp:inline>
        </w:drawing>
      </w:r>
    </w:p>
    <w:p w14:paraId="0C909A10" w14:textId="77777777" w:rsidR="00B758E5" w:rsidRPr="006266CF" w:rsidRDefault="00B758E5" w:rsidP="00817BC9">
      <w:pPr>
        <w:pStyle w:val="NewBodyText"/>
      </w:pPr>
    </w:p>
    <w:p w14:paraId="227316FB" w14:textId="77777777" w:rsidR="00B758E5" w:rsidRPr="006266CF" w:rsidRDefault="00B758E5" w:rsidP="00817BC9">
      <w:pPr>
        <w:pStyle w:val="NewBodyText"/>
      </w:pPr>
    </w:p>
    <w:p w14:paraId="3F73EFC4" w14:textId="77777777" w:rsidR="003B28CB" w:rsidRPr="006266CF" w:rsidRDefault="003B28CB" w:rsidP="00817BC9">
      <w:pPr>
        <w:pStyle w:val="NewBodyText"/>
        <w:sectPr w:rsidR="003B28CB" w:rsidRPr="006266CF" w:rsidSect="00A53F17">
          <w:headerReference w:type="default" r:id="rId9"/>
          <w:footerReference w:type="default" r:id="rId10"/>
          <w:headerReference w:type="first" r:id="rId11"/>
          <w:footerReference w:type="first" r:id="rId12"/>
          <w:pgSz w:w="11907" w:h="16839" w:code="9"/>
          <w:pgMar w:top="936" w:right="851" w:bottom="851" w:left="992" w:header="283" w:footer="454" w:gutter="0"/>
          <w:cols w:space="720"/>
          <w:titlePg/>
          <w:docGrid w:linePitch="360"/>
        </w:sectPr>
      </w:pPr>
    </w:p>
    <w:sdt>
      <w:sdtPr>
        <w:rPr>
          <w:rFonts w:ascii="Open Sans" w:eastAsia="Times New Roman" w:hAnsi="Open Sans" w:cs="Times New Roman"/>
          <w:color w:val="000000" w:themeColor="text1"/>
          <w:sz w:val="22"/>
          <w:szCs w:val="20"/>
        </w:rPr>
        <w:id w:val="414521724"/>
        <w:docPartObj>
          <w:docPartGallery w:val="Table of Contents"/>
          <w:docPartUnique/>
        </w:docPartObj>
      </w:sdtPr>
      <w:sdtEndPr>
        <w:rPr>
          <w:b/>
          <w:bCs/>
        </w:rPr>
      </w:sdtEndPr>
      <w:sdtContent>
        <w:p w14:paraId="5DC1FFAD" w14:textId="77777777" w:rsidR="00077616" w:rsidRPr="006266CF" w:rsidRDefault="00077616">
          <w:pPr>
            <w:pStyle w:val="TOCHeading"/>
          </w:pPr>
          <w:r w:rsidRPr="006266CF">
            <w:t>Contents</w:t>
          </w:r>
        </w:p>
        <w:p w14:paraId="144851F5" w14:textId="0594EB37" w:rsidR="00E14BA1" w:rsidRDefault="00077616">
          <w:pPr>
            <w:pStyle w:val="TOC1"/>
            <w:rPr>
              <w:rFonts w:asciiTheme="minorHAnsi" w:eastAsiaTheme="minorEastAsia" w:hAnsiTheme="minorHAnsi" w:cstheme="minorBidi"/>
              <w:b w:val="0"/>
              <w:bCs w:val="0"/>
              <w:noProof/>
              <w:color w:val="auto"/>
              <w:szCs w:val="22"/>
            </w:rPr>
          </w:pPr>
          <w:r w:rsidRPr="006266CF">
            <w:rPr>
              <w:b w:val="0"/>
              <w:bCs w:val="0"/>
            </w:rPr>
            <w:fldChar w:fldCharType="begin"/>
          </w:r>
          <w:r w:rsidRPr="006266CF">
            <w:rPr>
              <w:b w:val="0"/>
              <w:bCs w:val="0"/>
            </w:rPr>
            <w:instrText xml:space="preserve"> TOC \o "2-2" \h \z \t "Heading 1,1,TOC Title,1" </w:instrText>
          </w:r>
          <w:r w:rsidRPr="006266CF">
            <w:rPr>
              <w:b w:val="0"/>
              <w:bCs w:val="0"/>
            </w:rPr>
            <w:fldChar w:fldCharType="separate"/>
          </w:r>
          <w:hyperlink w:anchor="_Toc477294854" w:history="1">
            <w:r w:rsidR="00E14BA1" w:rsidRPr="00FF0AA1">
              <w:rPr>
                <w:rStyle w:val="Hyperlink"/>
                <w:noProof/>
              </w:rPr>
              <w:t>Executive Summary</w:t>
            </w:r>
            <w:r w:rsidR="00E14BA1">
              <w:rPr>
                <w:noProof/>
                <w:webHidden/>
              </w:rPr>
              <w:tab/>
            </w:r>
            <w:r w:rsidR="00E14BA1">
              <w:rPr>
                <w:noProof/>
                <w:webHidden/>
              </w:rPr>
              <w:fldChar w:fldCharType="begin"/>
            </w:r>
            <w:r w:rsidR="00E14BA1">
              <w:rPr>
                <w:noProof/>
                <w:webHidden/>
              </w:rPr>
              <w:instrText xml:space="preserve"> PAGEREF _Toc477294854 \h </w:instrText>
            </w:r>
            <w:r w:rsidR="00E14BA1">
              <w:rPr>
                <w:noProof/>
                <w:webHidden/>
              </w:rPr>
            </w:r>
            <w:r w:rsidR="00E14BA1">
              <w:rPr>
                <w:noProof/>
                <w:webHidden/>
              </w:rPr>
              <w:fldChar w:fldCharType="separate"/>
            </w:r>
            <w:r w:rsidR="00F52A18">
              <w:rPr>
                <w:noProof/>
                <w:webHidden/>
              </w:rPr>
              <w:t>i</w:t>
            </w:r>
            <w:r w:rsidR="00E14BA1">
              <w:rPr>
                <w:noProof/>
                <w:webHidden/>
              </w:rPr>
              <w:fldChar w:fldCharType="end"/>
            </w:r>
          </w:hyperlink>
        </w:p>
        <w:p w14:paraId="357CF108" w14:textId="63D742FC" w:rsidR="00E14BA1" w:rsidRDefault="00C67CA6">
          <w:pPr>
            <w:pStyle w:val="TOC2"/>
            <w:rPr>
              <w:rFonts w:asciiTheme="minorHAnsi" w:eastAsiaTheme="minorEastAsia" w:hAnsiTheme="minorHAnsi" w:cstheme="minorBidi"/>
              <w:noProof/>
              <w:color w:val="auto"/>
              <w:szCs w:val="22"/>
            </w:rPr>
          </w:pPr>
          <w:hyperlink w:anchor="_Toc477294855" w:history="1">
            <w:r w:rsidR="00E14BA1" w:rsidRPr="00FF0AA1">
              <w:rPr>
                <w:rStyle w:val="Hyperlink"/>
                <w:noProof/>
              </w:rPr>
              <w:t>Recommendations</w:t>
            </w:r>
            <w:r w:rsidR="00E14BA1">
              <w:rPr>
                <w:noProof/>
                <w:webHidden/>
              </w:rPr>
              <w:tab/>
            </w:r>
            <w:r w:rsidR="00E14BA1">
              <w:rPr>
                <w:noProof/>
                <w:webHidden/>
              </w:rPr>
              <w:fldChar w:fldCharType="begin"/>
            </w:r>
            <w:r w:rsidR="00E14BA1">
              <w:rPr>
                <w:noProof/>
                <w:webHidden/>
              </w:rPr>
              <w:instrText xml:space="preserve"> PAGEREF _Toc477294855 \h </w:instrText>
            </w:r>
            <w:r w:rsidR="00E14BA1">
              <w:rPr>
                <w:noProof/>
                <w:webHidden/>
              </w:rPr>
            </w:r>
            <w:r w:rsidR="00E14BA1">
              <w:rPr>
                <w:noProof/>
                <w:webHidden/>
              </w:rPr>
              <w:fldChar w:fldCharType="separate"/>
            </w:r>
            <w:r w:rsidR="00F52A18">
              <w:rPr>
                <w:noProof/>
                <w:webHidden/>
              </w:rPr>
              <w:t>ii</w:t>
            </w:r>
            <w:r w:rsidR="00E14BA1">
              <w:rPr>
                <w:noProof/>
                <w:webHidden/>
              </w:rPr>
              <w:fldChar w:fldCharType="end"/>
            </w:r>
          </w:hyperlink>
        </w:p>
        <w:p w14:paraId="15378F42" w14:textId="131862A0" w:rsidR="00E14BA1" w:rsidRDefault="00C67CA6">
          <w:pPr>
            <w:pStyle w:val="TOC1"/>
            <w:rPr>
              <w:rFonts w:asciiTheme="minorHAnsi" w:eastAsiaTheme="minorEastAsia" w:hAnsiTheme="minorHAnsi" w:cstheme="minorBidi"/>
              <w:b w:val="0"/>
              <w:bCs w:val="0"/>
              <w:noProof/>
              <w:color w:val="auto"/>
              <w:szCs w:val="22"/>
            </w:rPr>
          </w:pPr>
          <w:hyperlink w:anchor="_Toc477294856" w:history="1">
            <w:r w:rsidR="00E14BA1" w:rsidRPr="00FF0AA1">
              <w:rPr>
                <w:rStyle w:val="Hyperlink"/>
                <w:noProof/>
              </w:rPr>
              <w:t>Introduction</w:t>
            </w:r>
            <w:r w:rsidR="00E14BA1">
              <w:rPr>
                <w:noProof/>
                <w:webHidden/>
              </w:rPr>
              <w:tab/>
            </w:r>
            <w:r w:rsidR="00E14BA1">
              <w:rPr>
                <w:noProof/>
                <w:webHidden/>
              </w:rPr>
              <w:fldChar w:fldCharType="begin"/>
            </w:r>
            <w:r w:rsidR="00E14BA1">
              <w:rPr>
                <w:noProof/>
                <w:webHidden/>
              </w:rPr>
              <w:instrText xml:space="preserve"> PAGEREF _Toc477294856 \h </w:instrText>
            </w:r>
            <w:r w:rsidR="00E14BA1">
              <w:rPr>
                <w:noProof/>
                <w:webHidden/>
              </w:rPr>
            </w:r>
            <w:r w:rsidR="00E14BA1">
              <w:rPr>
                <w:noProof/>
                <w:webHidden/>
              </w:rPr>
              <w:fldChar w:fldCharType="separate"/>
            </w:r>
            <w:r w:rsidR="00F52A18">
              <w:rPr>
                <w:noProof/>
                <w:webHidden/>
              </w:rPr>
              <w:t>1</w:t>
            </w:r>
            <w:r w:rsidR="00E14BA1">
              <w:rPr>
                <w:noProof/>
                <w:webHidden/>
              </w:rPr>
              <w:fldChar w:fldCharType="end"/>
            </w:r>
          </w:hyperlink>
        </w:p>
        <w:p w14:paraId="0F7F982B" w14:textId="04929CE8" w:rsidR="00E14BA1" w:rsidRDefault="00C67CA6">
          <w:pPr>
            <w:pStyle w:val="TOC1"/>
            <w:rPr>
              <w:rFonts w:asciiTheme="minorHAnsi" w:eastAsiaTheme="minorEastAsia" w:hAnsiTheme="minorHAnsi" w:cstheme="minorBidi"/>
              <w:b w:val="0"/>
              <w:bCs w:val="0"/>
              <w:noProof/>
              <w:color w:val="auto"/>
              <w:szCs w:val="22"/>
            </w:rPr>
          </w:pPr>
          <w:hyperlink w:anchor="_Toc477294857" w:history="1">
            <w:r w:rsidR="00E14BA1" w:rsidRPr="00FF0AA1">
              <w:rPr>
                <w:rStyle w:val="Hyperlink"/>
                <w:noProof/>
              </w:rPr>
              <w:t>Background and Rationale</w:t>
            </w:r>
            <w:r w:rsidR="00E14BA1">
              <w:rPr>
                <w:noProof/>
                <w:webHidden/>
              </w:rPr>
              <w:tab/>
            </w:r>
            <w:r w:rsidR="00E14BA1">
              <w:rPr>
                <w:noProof/>
                <w:webHidden/>
              </w:rPr>
              <w:fldChar w:fldCharType="begin"/>
            </w:r>
            <w:r w:rsidR="00E14BA1">
              <w:rPr>
                <w:noProof/>
                <w:webHidden/>
              </w:rPr>
              <w:instrText xml:space="preserve"> PAGEREF _Toc477294857 \h </w:instrText>
            </w:r>
            <w:r w:rsidR="00E14BA1">
              <w:rPr>
                <w:noProof/>
                <w:webHidden/>
              </w:rPr>
            </w:r>
            <w:r w:rsidR="00E14BA1">
              <w:rPr>
                <w:noProof/>
                <w:webHidden/>
              </w:rPr>
              <w:fldChar w:fldCharType="separate"/>
            </w:r>
            <w:r w:rsidR="00F52A18">
              <w:rPr>
                <w:noProof/>
                <w:webHidden/>
              </w:rPr>
              <w:t>3</w:t>
            </w:r>
            <w:r w:rsidR="00E14BA1">
              <w:rPr>
                <w:noProof/>
                <w:webHidden/>
              </w:rPr>
              <w:fldChar w:fldCharType="end"/>
            </w:r>
          </w:hyperlink>
        </w:p>
        <w:p w14:paraId="2CFD5E26" w14:textId="40772E58" w:rsidR="00E14BA1" w:rsidRDefault="00C67CA6">
          <w:pPr>
            <w:pStyle w:val="TOC1"/>
            <w:rPr>
              <w:rFonts w:asciiTheme="minorHAnsi" w:eastAsiaTheme="minorEastAsia" w:hAnsiTheme="minorHAnsi" w:cstheme="minorBidi"/>
              <w:b w:val="0"/>
              <w:bCs w:val="0"/>
              <w:noProof/>
              <w:color w:val="auto"/>
              <w:szCs w:val="22"/>
            </w:rPr>
          </w:pPr>
          <w:hyperlink w:anchor="_Toc477294858" w:history="1">
            <w:r w:rsidR="00E14BA1" w:rsidRPr="00FF0AA1">
              <w:rPr>
                <w:rStyle w:val="Hyperlink"/>
                <w:noProof/>
              </w:rPr>
              <w:t>Method</w:t>
            </w:r>
            <w:r w:rsidR="00E14BA1">
              <w:rPr>
                <w:noProof/>
                <w:webHidden/>
              </w:rPr>
              <w:tab/>
            </w:r>
            <w:r w:rsidR="00E14BA1">
              <w:rPr>
                <w:noProof/>
                <w:webHidden/>
              </w:rPr>
              <w:fldChar w:fldCharType="begin"/>
            </w:r>
            <w:r w:rsidR="00E14BA1">
              <w:rPr>
                <w:noProof/>
                <w:webHidden/>
              </w:rPr>
              <w:instrText xml:space="preserve"> PAGEREF _Toc477294858 \h </w:instrText>
            </w:r>
            <w:r w:rsidR="00E14BA1">
              <w:rPr>
                <w:noProof/>
                <w:webHidden/>
              </w:rPr>
            </w:r>
            <w:r w:rsidR="00E14BA1">
              <w:rPr>
                <w:noProof/>
                <w:webHidden/>
              </w:rPr>
              <w:fldChar w:fldCharType="separate"/>
            </w:r>
            <w:r w:rsidR="00F52A18">
              <w:rPr>
                <w:noProof/>
                <w:webHidden/>
              </w:rPr>
              <w:t>5</w:t>
            </w:r>
            <w:r w:rsidR="00E14BA1">
              <w:rPr>
                <w:noProof/>
                <w:webHidden/>
              </w:rPr>
              <w:fldChar w:fldCharType="end"/>
            </w:r>
          </w:hyperlink>
        </w:p>
        <w:p w14:paraId="0F1197F2" w14:textId="3F888277" w:rsidR="00E14BA1" w:rsidRDefault="00C67CA6">
          <w:pPr>
            <w:pStyle w:val="TOC2"/>
            <w:rPr>
              <w:rFonts w:asciiTheme="minorHAnsi" w:eastAsiaTheme="minorEastAsia" w:hAnsiTheme="minorHAnsi" w:cstheme="minorBidi"/>
              <w:noProof/>
              <w:color w:val="auto"/>
              <w:szCs w:val="22"/>
            </w:rPr>
          </w:pPr>
          <w:hyperlink w:anchor="_Toc477294859" w:history="1">
            <w:r w:rsidR="00E14BA1" w:rsidRPr="00FF0AA1">
              <w:rPr>
                <w:rStyle w:val="Hyperlink"/>
                <w:noProof/>
              </w:rPr>
              <w:t>Research</w:t>
            </w:r>
            <w:r w:rsidR="00E14BA1">
              <w:rPr>
                <w:noProof/>
                <w:webHidden/>
              </w:rPr>
              <w:tab/>
            </w:r>
            <w:r w:rsidR="00E14BA1">
              <w:rPr>
                <w:noProof/>
                <w:webHidden/>
              </w:rPr>
              <w:fldChar w:fldCharType="begin"/>
            </w:r>
            <w:r w:rsidR="00E14BA1">
              <w:rPr>
                <w:noProof/>
                <w:webHidden/>
              </w:rPr>
              <w:instrText xml:space="preserve"> PAGEREF _Toc477294859 \h </w:instrText>
            </w:r>
            <w:r w:rsidR="00E14BA1">
              <w:rPr>
                <w:noProof/>
                <w:webHidden/>
              </w:rPr>
            </w:r>
            <w:r w:rsidR="00E14BA1">
              <w:rPr>
                <w:noProof/>
                <w:webHidden/>
              </w:rPr>
              <w:fldChar w:fldCharType="separate"/>
            </w:r>
            <w:r w:rsidR="00F52A18">
              <w:rPr>
                <w:noProof/>
                <w:webHidden/>
              </w:rPr>
              <w:t>5</w:t>
            </w:r>
            <w:r w:rsidR="00E14BA1">
              <w:rPr>
                <w:noProof/>
                <w:webHidden/>
              </w:rPr>
              <w:fldChar w:fldCharType="end"/>
            </w:r>
          </w:hyperlink>
        </w:p>
        <w:p w14:paraId="30FEE4F9" w14:textId="28B96758" w:rsidR="00E14BA1" w:rsidRDefault="00C67CA6">
          <w:pPr>
            <w:pStyle w:val="TOC2"/>
            <w:rPr>
              <w:rFonts w:asciiTheme="minorHAnsi" w:eastAsiaTheme="minorEastAsia" w:hAnsiTheme="minorHAnsi" w:cstheme="minorBidi"/>
              <w:noProof/>
              <w:color w:val="auto"/>
              <w:szCs w:val="22"/>
            </w:rPr>
          </w:pPr>
          <w:hyperlink w:anchor="_Toc477294860" w:history="1">
            <w:r w:rsidR="00E14BA1" w:rsidRPr="00FF0AA1">
              <w:rPr>
                <w:rStyle w:val="Hyperlink"/>
                <w:noProof/>
              </w:rPr>
              <w:t>Survey</w:t>
            </w:r>
            <w:r w:rsidR="00E14BA1">
              <w:rPr>
                <w:noProof/>
                <w:webHidden/>
              </w:rPr>
              <w:tab/>
            </w:r>
            <w:r w:rsidR="00E14BA1">
              <w:rPr>
                <w:noProof/>
                <w:webHidden/>
              </w:rPr>
              <w:fldChar w:fldCharType="begin"/>
            </w:r>
            <w:r w:rsidR="00E14BA1">
              <w:rPr>
                <w:noProof/>
                <w:webHidden/>
              </w:rPr>
              <w:instrText xml:space="preserve"> PAGEREF _Toc477294860 \h </w:instrText>
            </w:r>
            <w:r w:rsidR="00E14BA1">
              <w:rPr>
                <w:noProof/>
                <w:webHidden/>
              </w:rPr>
            </w:r>
            <w:r w:rsidR="00E14BA1">
              <w:rPr>
                <w:noProof/>
                <w:webHidden/>
              </w:rPr>
              <w:fldChar w:fldCharType="separate"/>
            </w:r>
            <w:r w:rsidR="00F52A18">
              <w:rPr>
                <w:noProof/>
                <w:webHidden/>
              </w:rPr>
              <w:t>5</w:t>
            </w:r>
            <w:r w:rsidR="00E14BA1">
              <w:rPr>
                <w:noProof/>
                <w:webHidden/>
              </w:rPr>
              <w:fldChar w:fldCharType="end"/>
            </w:r>
          </w:hyperlink>
        </w:p>
        <w:p w14:paraId="3DA2F7ED" w14:textId="04B0B995" w:rsidR="00E14BA1" w:rsidRDefault="00C67CA6">
          <w:pPr>
            <w:pStyle w:val="TOC2"/>
            <w:rPr>
              <w:rFonts w:asciiTheme="minorHAnsi" w:eastAsiaTheme="minorEastAsia" w:hAnsiTheme="minorHAnsi" w:cstheme="minorBidi"/>
              <w:noProof/>
              <w:color w:val="auto"/>
              <w:szCs w:val="22"/>
            </w:rPr>
          </w:pPr>
          <w:hyperlink w:anchor="_Toc477294861" w:history="1">
            <w:r w:rsidR="00E14BA1" w:rsidRPr="00FF0AA1">
              <w:rPr>
                <w:rStyle w:val="Hyperlink"/>
                <w:noProof/>
              </w:rPr>
              <w:t>Focus Group Discussions</w:t>
            </w:r>
            <w:r w:rsidR="00E14BA1">
              <w:rPr>
                <w:noProof/>
                <w:webHidden/>
              </w:rPr>
              <w:tab/>
            </w:r>
            <w:r w:rsidR="00E14BA1">
              <w:rPr>
                <w:noProof/>
                <w:webHidden/>
              </w:rPr>
              <w:fldChar w:fldCharType="begin"/>
            </w:r>
            <w:r w:rsidR="00E14BA1">
              <w:rPr>
                <w:noProof/>
                <w:webHidden/>
              </w:rPr>
              <w:instrText xml:space="preserve"> PAGEREF _Toc477294861 \h </w:instrText>
            </w:r>
            <w:r w:rsidR="00E14BA1">
              <w:rPr>
                <w:noProof/>
                <w:webHidden/>
              </w:rPr>
            </w:r>
            <w:r w:rsidR="00E14BA1">
              <w:rPr>
                <w:noProof/>
                <w:webHidden/>
              </w:rPr>
              <w:fldChar w:fldCharType="separate"/>
            </w:r>
            <w:r w:rsidR="00F52A18">
              <w:rPr>
                <w:noProof/>
                <w:webHidden/>
              </w:rPr>
              <w:t>6</w:t>
            </w:r>
            <w:r w:rsidR="00E14BA1">
              <w:rPr>
                <w:noProof/>
                <w:webHidden/>
              </w:rPr>
              <w:fldChar w:fldCharType="end"/>
            </w:r>
          </w:hyperlink>
        </w:p>
        <w:p w14:paraId="300E2646" w14:textId="57BF5DAB" w:rsidR="00E14BA1" w:rsidRDefault="00C67CA6">
          <w:pPr>
            <w:pStyle w:val="TOC2"/>
            <w:rPr>
              <w:rFonts w:asciiTheme="minorHAnsi" w:eastAsiaTheme="minorEastAsia" w:hAnsiTheme="minorHAnsi" w:cstheme="minorBidi"/>
              <w:noProof/>
              <w:color w:val="auto"/>
              <w:szCs w:val="22"/>
            </w:rPr>
          </w:pPr>
          <w:hyperlink w:anchor="_Toc477294862" w:history="1">
            <w:r w:rsidR="00E14BA1" w:rsidRPr="00FF0AA1">
              <w:rPr>
                <w:rStyle w:val="Hyperlink"/>
                <w:noProof/>
              </w:rPr>
              <w:t>Key Informant Interviews</w:t>
            </w:r>
            <w:r w:rsidR="00E14BA1">
              <w:rPr>
                <w:noProof/>
                <w:webHidden/>
              </w:rPr>
              <w:tab/>
            </w:r>
            <w:r w:rsidR="00E14BA1">
              <w:rPr>
                <w:noProof/>
                <w:webHidden/>
              </w:rPr>
              <w:fldChar w:fldCharType="begin"/>
            </w:r>
            <w:r w:rsidR="00E14BA1">
              <w:rPr>
                <w:noProof/>
                <w:webHidden/>
              </w:rPr>
              <w:instrText xml:space="preserve"> PAGEREF _Toc477294862 \h </w:instrText>
            </w:r>
            <w:r w:rsidR="00E14BA1">
              <w:rPr>
                <w:noProof/>
                <w:webHidden/>
              </w:rPr>
            </w:r>
            <w:r w:rsidR="00E14BA1">
              <w:rPr>
                <w:noProof/>
                <w:webHidden/>
              </w:rPr>
              <w:fldChar w:fldCharType="separate"/>
            </w:r>
            <w:r w:rsidR="00F52A18">
              <w:rPr>
                <w:noProof/>
                <w:webHidden/>
              </w:rPr>
              <w:t>7</w:t>
            </w:r>
            <w:r w:rsidR="00E14BA1">
              <w:rPr>
                <w:noProof/>
                <w:webHidden/>
              </w:rPr>
              <w:fldChar w:fldCharType="end"/>
            </w:r>
          </w:hyperlink>
        </w:p>
        <w:p w14:paraId="29DF29D7" w14:textId="4226B9B5" w:rsidR="00E14BA1" w:rsidRDefault="00C67CA6">
          <w:pPr>
            <w:pStyle w:val="TOC2"/>
            <w:rPr>
              <w:rFonts w:asciiTheme="minorHAnsi" w:eastAsiaTheme="minorEastAsia" w:hAnsiTheme="minorHAnsi" w:cstheme="minorBidi"/>
              <w:noProof/>
              <w:color w:val="auto"/>
              <w:szCs w:val="22"/>
            </w:rPr>
          </w:pPr>
          <w:hyperlink w:anchor="_Toc477294863" w:history="1">
            <w:r w:rsidR="00E14BA1" w:rsidRPr="00FF0AA1">
              <w:rPr>
                <w:rStyle w:val="Hyperlink"/>
                <w:noProof/>
              </w:rPr>
              <w:t>Context Analysis</w:t>
            </w:r>
            <w:r w:rsidR="00E14BA1">
              <w:rPr>
                <w:noProof/>
                <w:webHidden/>
              </w:rPr>
              <w:tab/>
            </w:r>
            <w:r w:rsidR="00E14BA1">
              <w:rPr>
                <w:noProof/>
                <w:webHidden/>
              </w:rPr>
              <w:fldChar w:fldCharType="begin"/>
            </w:r>
            <w:r w:rsidR="00E14BA1">
              <w:rPr>
                <w:noProof/>
                <w:webHidden/>
              </w:rPr>
              <w:instrText xml:space="preserve"> PAGEREF _Toc477294863 \h </w:instrText>
            </w:r>
            <w:r w:rsidR="00E14BA1">
              <w:rPr>
                <w:noProof/>
                <w:webHidden/>
              </w:rPr>
            </w:r>
            <w:r w:rsidR="00E14BA1">
              <w:rPr>
                <w:noProof/>
                <w:webHidden/>
              </w:rPr>
              <w:fldChar w:fldCharType="separate"/>
            </w:r>
            <w:r w:rsidR="00F52A18">
              <w:rPr>
                <w:noProof/>
                <w:webHidden/>
              </w:rPr>
              <w:t>7</w:t>
            </w:r>
            <w:r w:rsidR="00E14BA1">
              <w:rPr>
                <w:noProof/>
                <w:webHidden/>
              </w:rPr>
              <w:fldChar w:fldCharType="end"/>
            </w:r>
          </w:hyperlink>
        </w:p>
        <w:p w14:paraId="7154F1D9" w14:textId="73B8649D" w:rsidR="00E14BA1" w:rsidRDefault="00C67CA6">
          <w:pPr>
            <w:pStyle w:val="TOC2"/>
            <w:rPr>
              <w:rFonts w:asciiTheme="minorHAnsi" w:eastAsiaTheme="minorEastAsia" w:hAnsiTheme="minorHAnsi" w:cstheme="minorBidi"/>
              <w:noProof/>
              <w:color w:val="auto"/>
              <w:szCs w:val="22"/>
            </w:rPr>
          </w:pPr>
          <w:hyperlink w:anchor="_Toc477294864" w:history="1">
            <w:r w:rsidR="00E14BA1" w:rsidRPr="00FF0AA1">
              <w:rPr>
                <w:rStyle w:val="Hyperlink"/>
                <w:noProof/>
              </w:rPr>
              <w:t>Limitations and challenges</w:t>
            </w:r>
            <w:r w:rsidR="00E14BA1">
              <w:rPr>
                <w:noProof/>
                <w:webHidden/>
              </w:rPr>
              <w:tab/>
            </w:r>
            <w:r w:rsidR="00E14BA1">
              <w:rPr>
                <w:noProof/>
                <w:webHidden/>
              </w:rPr>
              <w:fldChar w:fldCharType="begin"/>
            </w:r>
            <w:r w:rsidR="00E14BA1">
              <w:rPr>
                <w:noProof/>
                <w:webHidden/>
              </w:rPr>
              <w:instrText xml:space="preserve"> PAGEREF _Toc477294864 \h </w:instrText>
            </w:r>
            <w:r w:rsidR="00E14BA1">
              <w:rPr>
                <w:noProof/>
                <w:webHidden/>
              </w:rPr>
            </w:r>
            <w:r w:rsidR="00E14BA1">
              <w:rPr>
                <w:noProof/>
                <w:webHidden/>
              </w:rPr>
              <w:fldChar w:fldCharType="separate"/>
            </w:r>
            <w:r w:rsidR="00F52A18">
              <w:rPr>
                <w:noProof/>
                <w:webHidden/>
              </w:rPr>
              <w:t>8</w:t>
            </w:r>
            <w:r w:rsidR="00E14BA1">
              <w:rPr>
                <w:noProof/>
                <w:webHidden/>
              </w:rPr>
              <w:fldChar w:fldCharType="end"/>
            </w:r>
          </w:hyperlink>
        </w:p>
        <w:p w14:paraId="62CEFC61" w14:textId="7D334293" w:rsidR="00E14BA1" w:rsidRDefault="00C67CA6">
          <w:pPr>
            <w:pStyle w:val="TOC1"/>
            <w:rPr>
              <w:rFonts w:asciiTheme="minorHAnsi" w:eastAsiaTheme="minorEastAsia" w:hAnsiTheme="minorHAnsi" w:cstheme="minorBidi"/>
              <w:b w:val="0"/>
              <w:bCs w:val="0"/>
              <w:noProof/>
              <w:color w:val="auto"/>
              <w:szCs w:val="22"/>
            </w:rPr>
          </w:pPr>
          <w:hyperlink w:anchor="_Toc477294865" w:history="1">
            <w:r w:rsidR="00E14BA1" w:rsidRPr="00FF0AA1">
              <w:rPr>
                <w:rStyle w:val="Hyperlink"/>
                <w:noProof/>
              </w:rPr>
              <w:t>Demographic profile</w:t>
            </w:r>
            <w:r w:rsidR="00E14BA1">
              <w:rPr>
                <w:noProof/>
                <w:webHidden/>
              </w:rPr>
              <w:tab/>
            </w:r>
            <w:r w:rsidR="00E14BA1">
              <w:rPr>
                <w:noProof/>
                <w:webHidden/>
              </w:rPr>
              <w:fldChar w:fldCharType="begin"/>
            </w:r>
            <w:r w:rsidR="00E14BA1">
              <w:rPr>
                <w:noProof/>
                <w:webHidden/>
              </w:rPr>
              <w:instrText xml:space="preserve"> PAGEREF _Toc477294865 \h </w:instrText>
            </w:r>
            <w:r w:rsidR="00E14BA1">
              <w:rPr>
                <w:noProof/>
                <w:webHidden/>
              </w:rPr>
            </w:r>
            <w:r w:rsidR="00E14BA1">
              <w:rPr>
                <w:noProof/>
                <w:webHidden/>
              </w:rPr>
              <w:fldChar w:fldCharType="separate"/>
            </w:r>
            <w:r w:rsidR="00F52A18">
              <w:rPr>
                <w:noProof/>
                <w:webHidden/>
              </w:rPr>
              <w:t>10</w:t>
            </w:r>
            <w:r w:rsidR="00E14BA1">
              <w:rPr>
                <w:noProof/>
                <w:webHidden/>
              </w:rPr>
              <w:fldChar w:fldCharType="end"/>
            </w:r>
          </w:hyperlink>
        </w:p>
        <w:p w14:paraId="39B4FA78" w14:textId="0E3C3956" w:rsidR="00E14BA1" w:rsidRDefault="00C67CA6">
          <w:pPr>
            <w:pStyle w:val="TOC1"/>
            <w:rPr>
              <w:rFonts w:asciiTheme="minorHAnsi" w:eastAsiaTheme="minorEastAsia" w:hAnsiTheme="minorHAnsi" w:cstheme="minorBidi"/>
              <w:b w:val="0"/>
              <w:bCs w:val="0"/>
              <w:noProof/>
              <w:color w:val="auto"/>
              <w:szCs w:val="22"/>
            </w:rPr>
          </w:pPr>
          <w:hyperlink w:anchor="_Toc477294866" w:history="1">
            <w:r w:rsidR="00E14BA1" w:rsidRPr="00FF0AA1">
              <w:rPr>
                <w:rStyle w:val="Hyperlink"/>
                <w:noProof/>
              </w:rPr>
              <w:t>Experience of Discrimination</w:t>
            </w:r>
            <w:r w:rsidR="00E14BA1">
              <w:rPr>
                <w:noProof/>
                <w:webHidden/>
              </w:rPr>
              <w:tab/>
            </w:r>
            <w:r w:rsidR="00E14BA1">
              <w:rPr>
                <w:noProof/>
                <w:webHidden/>
              </w:rPr>
              <w:fldChar w:fldCharType="begin"/>
            </w:r>
            <w:r w:rsidR="00E14BA1">
              <w:rPr>
                <w:noProof/>
                <w:webHidden/>
              </w:rPr>
              <w:instrText xml:space="preserve"> PAGEREF _Toc477294866 \h </w:instrText>
            </w:r>
            <w:r w:rsidR="00E14BA1">
              <w:rPr>
                <w:noProof/>
                <w:webHidden/>
              </w:rPr>
            </w:r>
            <w:r w:rsidR="00E14BA1">
              <w:rPr>
                <w:noProof/>
                <w:webHidden/>
              </w:rPr>
              <w:fldChar w:fldCharType="separate"/>
            </w:r>
            <w:r w:rsidR="00F52A18">
              <w:rPr>
                <w:noProof/>
                <w:webHidden/>
              </w:rPr>
              <w:t>12</w:t>
            </w:r>
            <w:r w:rsidR="00E14BA1">
              <w:rPr>
                <w:noProof/>
                <w:webHidden/>
              </w:rPr>
              <w:fldChar w:fldCharType="end"/>
            </w:r>
          </w:hyperlink>
        </w:p>
        <w:p w14:paraId="6EF99047" w14:textId="6A074429" w:rsidR="00E14BA1" w:rsidRDefault="00C67CA6">
          <w:pPr>
            <w:pStyle w:val="TOC2"/>
            <w:rPr>
              <w:rFonts w:asciiTheme="minorHAnsi" w:eastAsiaTheme="minorEastAsia" w:hAnsiTheme="minorHAnsi" w:cstheme="minorBidi"/>
              <w:noProof/>
              <w:color w:val="auto"/>
              <w:szCs w:val="22"/>
            </w:rPr>
          </w:pPr>
          <w:hyperlink w:anchor="_Toc477294867" w:history="1">
            <w:r w:rsidR="00E14BA1" w:rsidRPr="00FF0AA1">
              <w:rPr>
                <w:rStyle w:val="Hyperlink"/>
                <w:noProof/>
              </w:rPr>
              <w:t>Worshipping places</w:t>
            </w:r>
            <w:r w:rsidR="00E14BA1">
              <w:rPr>
                <w:noProof/>
                <w:webHidden/>
              </w:rPr>
              <w:tab/>
            </w:r>
            <w:r w:rsidR="00E14BA1">
              <w:rPr>
                <w:noProof/>
                <w:webHidden/>
              </w:rPr>
              <w:fldChar w:fldCharType="begin"/>
            </w:r>
            <w:r w:rsidR="00E14BA1">
              <w:rPr>
                <w:noProof/>
                <w:webHidden/>
              </w:rPr>
              <w:instrText xml:space="preserve"> PAGEREF _Toc477294867 \h </w:instrText>
            </w:r>
            <w:r w:rsidR="00E14BA1">
              <w:rPr>
                <w:noProof/>
                <w:webHidden/>
              </w:rPr>
            </w:r>
            <w:r w:rsidR="00E14BA1">
              <w:rPr>
                <w:noProof/>
                <w:webHidden/>
              </w:rPr>
              <w:fldChar w:fldCharType="separate"/>
            </w:r>
            <w:r w:rsidR="00F52A18">
              <w:rPr>
                <w:noProof/>
                <w:webHidden/>
              </w:rPr>
              <w:t>13</w:t>
            </w:r>
            <w:r w:rsidR="00E14BA1">
              <w:rPr>
                <w:noProof/>
                <w:webHidden/>
              </w:rPr>
              <w:fldChar w:fldCharType="end"/>
            </w:r>
          </w:hyperlink>
        </w:p>
        <w:p w14:paraId="7720E6F4" w14:textId="1EB0E52F" w:rsidR="00E14BA1" w:rsidRDefault="00C67CA6">
          <w:pPr>
            <w:pStyle w:val="TOC2"/>
            <w:rPr>
              <w:rFonts w:asciiTheme="minorHAnsi" w:eastAsiaTheme="minorEastAsia" w:hAnsiTheme="minorHAnsi" w:cstheme="minorBidi"/>
              <w:noProof/>
              <w:color w:val="auto"/>
              <w:szCs w:val="22"/>
            </w:rPr>
          </w:pPr>
          <w:hyperlink w:anchor="_Toc477294868" w:history="1">
            <w:r w:rsidR="00E14BA1" w:rsidRPr="00FF0AA1">
              <w:rPr>
                <w:rStyle w:val="Hyperlink"/>
                <w:noProof/>
              </w:rPr>
              <w:t>Services</w:t>
            </w:r>
            <w:r w:rsidR="00E14BA1">
              <w:rPr>
                <w:noProof/>
                <w:webHidden/>
              </w:rPr>
              <w:tab/>
            </w:r>
            <w:r w:rsidR="00E14BA1">
              <w:rPr>
                <w:noProof/>
                <w:webHidden/>
              </w:rPr>
              <w:fldChar w:fldCharType="begin"/>
            </w:r>
            <w:r w:rsidR="00E14BA1">
              <w:rPr>
                <w:noProof/>
                <w:webHidden/>
              </w:rPr>
              <w:instrText xml:space="preserve"> PAGEREF _Toc477294868 \h </w:instrText>
            </w:r>
            <w:r w:rsidR="00E14BA1">
              <w:rPr>
                <w:noProof/>
                <w:webHidden/>
              </w:rPr>
            </w:r>
            <w:r w:rsidR="00E14BA1">
              <w:rPr>
                <w:noProof/>
                <w:webHidden/>
              </w:rPr>
              <w:fldChar w:fldCharType="separate"/>
            </w:r>
            <w:r w:rsidR="00F52A18">
              <w:rPr>
                <w:noProof/>
                <w:webHidden/>
              </w:rPr>
              <w:t>14</w:t>
            </w:r>
            <w:r w:rsidR="00E14BA1">
              <w:rPr>
                <w:noProof/>
                <w:webHidden/>
              </w:rPr>
              <w:fldChar w:fldCharType="end"/>
            </w:r>
          </w:hyperlink>
        </w:p>
        <w:p w14:paraId="444925E3" w14:textId="6CFDDFD0" w:rsidR="00E14BA1" w:rsidRDefault="00C67CA6">
          <w:pPr>
            <w:pStyle w:val="TOC1"/>
            <w:rPr>
              <w:rFonts w:asciiTheme="minorHAnsi" w:eastAsiaTheme="minorEastAsia" w:hAnsiTheme="minorHAnsi" w:cstheme="minorBidi"/>
              <w:b w:val="0"/>
              <w:bCs w:val="0"/>
              <w:noProof/>
              <w:color w:val="auto"/>
              <w:szCs w:val="22"/>
            </w:rPr>
          </w:pPr>
          <w:hyperlink w:anchor="_Toc477294869" w:history="1">
            <w:r w:rsidR="00E14BA1" w:rsidRPr="00FF0AA1">
              <w:rPr>
                <w:rStyle w:val="Hyperlink"/>
                <w:noProof/>
              </w:rPr>
              <w:t>Experience of Social Exclusion</w:t>
            </w:r>
            <w:r w:rsidR="00E14BA1">
              <w:rPr>
                <w:noProof/>
                <w:webHidden/>
              </w:rPr>
              <w:tab/>
            </w:r>
            <w:r w:rsidR="00E14BA1">
              <w:rPr>
                <w:noProof/>
                <w:webHidden/>
              </w:rPr>
              <w:fldChar w:fldCharType="begin"/>
            </w:r>
            <w:r w:rsidR="00E14BA1">
              <w:rPr>
                <w:noProof/>
                <w:webHidden/>
              </w:rPr>
              <w:instrText xml:space="preserve"> PAGEREF _Toc477294869 \h </w:instrText>
            </w:r>
            <w:r w:rsidR="00E14BA1">
              <w:rPr>
                <w:noProof/>
                <w:webHidden/>
              </w:rPr>
            </w:r>
            <w:r w:rsidR="00E14BA1">
              <w:rPr>
                <w:noProof/>
                <w:webHidden/>
              </w:rPr>
              <w:fldChar w:fldCharType="separate"/>
            </w:r>
            <w:r w:rsidR="00F52A18">
              <w:rPr>
                <w:noProof/>
                <w:webHidden/>
              </w:rPr>
              <w:t>17</w:t>
            </w:r>
            <w:r w:rsidR="00E14BA1">
              <w:rPr>
                <w:noProof/>
                <w:webHidden/>
              </w:rPr>
              <w:fldChar w:fldCharType="end"/>
            </w:r>
          </w:hyperlink>
        </w:p>
        <w:p w14:paraId="453F4A0F" w14:textId="6A35E1F6" w:rsidR="00E14BA1" w:rsidRDefault="00C67CA6">
          <w:pPr>
            <w:pStyle w:val="TOC2"/>
            <w:rPr>
              <w:rFonts w:asciiTheme="minorHAnsi" w:eastAsiaTheme="minorEastAsia" w:hAnsiTheme="minorHAnsi" w:cstheme="minorBidi"/>
              <w:noProof/>
              <w:color w:val="auto"/>
              <w:szCs w:val="22"/>
            </w:rPr>
          </w:pPr>
          <w:hyperlink w:anchor="_Toc477294870" w:history="1">
            <w:r w:rsidR="00E14BA1" w:rsidRPr="00FF0AA1">
              <w:rPr>
                <w:rStyle w:val="Hyperlink"/>
                <w:noProof/>
              </w:rPr>
              <w:t>Harmony in the neighbourhood</w:t>
            </w:r>
            <w:r w:rsidR="00E14BA1">
              <w:rPr>
                <w:noProof/>
                <w:webHidden/>
              </w:rPr>
              <w:tab/>
            </w:r>
            <w:r w:rsidR="00E14BA1">
              <w:rPr>
                <w:noProof/>
                <w:webHidden/>
              </w:rPr>
              <w:fldChar w:fldCharType="begin"/>
            </w:r>
            <w:r w:rsidR="00E14BA1">
              <w:rPr>
                <w:noProof/>
                <w:webHidden/>
              </w:rPr>
              <w:instrText xml:space="preserve"> PAGEREF _Toc477294870 \h </w:instrText>
            </w:r>
            <w:r w:rsidR="00E14BA1">
              <w:rPr>
                <w:noProof/>
                <w:webHidden/>
              </w:rPr>
            </w:r>
            <w:r w:rsidR="00E14BA1">
              <w:rPr>
                <w:noProof/>
                <w:webHidden/>
              </w:rPr>
              <w:fldChar w:fldCharType="separate"/>
            </w:r>
            <w:r w:rsidR="00F52A18">
              <w:rPr>
                <w:noProof/>
                <w:webHidden/>
              </w:rPr>
              <w:t>17</w:t>
            </w:r>
            <w:r w:rsidR="00E14BA1">
              <w:rPr>
                <w:noProof/>
                <w:webHidden/>
              </w:rPr>
              <w:fldChar w:fldCharType="end"/>
            </w:r>
          </w:hyperlink>
        </w:p>
        <w:p w14:paraId="2808FE10" w14:textId="693CF577" w:rsidR="00E14BA1" w:rsidRDefault="00C67CA6">
          <w:pPr>
            <w:pStyle w:val="TOC2"/>
            <w:rPr>
              <w:rFonts w:asciiTheme="minorHAnsi" w:eastAsiaTheme="minorEastAsia" w:hAnsiTheme="minorHAnsi" w:cstheme="minorBidi"/>
              <w:noProof/>
              <w:color w:val="auto"/>
              <w:szCs w:val="22"/>
            </w:rPr>
          </w:pPr>
          <w:hyperlink w:anchor="_Toc477294871" w:history="1">
            <w:r w:rsidR="00E14BA1" w:rsidRPr="00FF0AA1">
              <w:rPr>
                <w:rStyle w:val="Hyperlink"/>
                <w:noProof/>
              </w:rPr>
              <w:t>Level of engagement</w:t>
            </w:r>
            <w:r w:rsidR="00E14BA1">
              <w:rPr>
                <w:noProof/>
                <w:webHidden/>
              </w:rPr>
              <w:tab/>
            </w:r>
            <w:r w:rsidR="00E14BA1">
              <w:rPr>
                <w:noProof/>
                <w:webHidden/>
              </w:rPr>
              <w:fldChar w:fldCharType="begin"/>
            </w:r>
            <w:r w:rsidR="00E14BA1">
              <w:rPr>
                <w:noProof/>
                <w:webHidden/>
              </w:rPr>
              <w:instrText xml:space="preserve"> PAGEREF _Toc477294871 \h </w:instrText>
            </w:r>
            <w:r w:rsidR="00E14BA1">
              <w:rPr>
                <w:noProof/>
                <w:webHidden/>
              </w:rPr>
            </w:r>
            <w:r w:rsidR="00E14BA1">
              <w:rPr>
                <w:noProof/>
                <w:webHidden/>
              </w:rPr>
              <w:fldChar w:fldCharType="separate"/>
            </w:r>
            <w:r w:rsidR="00F52A18">
              <w:rPr>
                <w:noProof/>
                <w:webHidden/>
              </w:rPr>
              <w:t>18</w:t>
            </w:r>
            <w:r w:rsidR="00E14BA1">
              <w:rPr>
                <w:noProof/>
                <w:webHidden/>
              </w:rPr>
              <w:fldChar w:fldCharType="end"/>
            </w:r>
          </w:hyperlink>
        </w:p>
        <w:p w14:paraId="7C0772C4" w14:textId="72B83402" w:rsidR="00E14BA1" w:rsidRDefault="00C67CA6">
          <w:pPr>
            <w:pStyle w:val="TOC1"/>
            <w:rPr>
              <w:rFonts w:asciiTheme="minorHAnsi" w:eastAsiaTheme="minorEastAsia" w:hAnsiTheme="minorHAnsi" w:cstheme="minorBidi"/>
              <w:b w:val="0"/>
              <w:bCs w:val="0"/>
              <w:noProof/>
              <w:color w:val="auto"/>
              <w:szCs w:val="22"/>
            </w:rPr>
          </w:pPr>
          <w:hyperlink w:anchor="_Toc477294872" w:history="1">
            <w:r w:rsidR="00E14BA1" w:rsidRPr="00FF0AA1">
              <w:rPr>
                <w:rStyle w:val="Hyperlink"/>
                <w:noProof/>
              </w:rPr>
              <w:t>Experience of Violence</w:t>
            </w:r>
            <w:r w:rsidR="00E14BA1">
              <w:rPr>
                <w:noProof/>
                <w:webHidden/>
              </w:rPr>
              <w:tab/>
            </w:r>
            <w:r w:rsidR="00E14BA1">
              <w:rPr>
                <w:noProof/>
                <w:webHidden/>
              </w:rPr>
              <w:fldChar w:fldCharType="begin"/>
            </w:r>
            <w:r w:rsidR="00E14BA1">
              <w:rPr>
                <w:noProof/>
                <w:webHidden/>
              </w:rPr>
              <w:instrText xml:space="preserve"> PAGEREF _Toc477294872 \h </w:instrText>
            </w:r>
            <w:r w:rsidR="00E14BA1">
              <w:rPr>
                <w:noProof/>
                <w:webHidden/>
              </w:rPr>
            </w:r>
            <w:r w:rsidR="00E14BA1">
              <w:rPr>
                <w:noProof/>
                <w:webHidden/>
              </w:rPr>
              <w:fldChar w:fldCharType="separate"/>
            </w:r>
            <w:r w:rsidR="00F52A18">
              <w:rPr>
                <w:noProof/>
                <w:webHidden/>
              </w:rPr>
              <w:t>20</w:t>
            </w:r>
            <w:r w:rsidR="00E14BA1">
              <w:rPr>
                <w:noProof/>
                <w:webHidden/>
              </w:rPr>
              <w:fldChar w:fldCharType="end"/>
            </w:r>
          </w:hyperlink>
        </w:p>
        <w:p w14:paraId="44CAC9EE" w14:textId="40F3BE97" w:rsidR="00E14BA1" w:rsidRDefault="00C67CA6">
          <w:pPr>
            <w:pStyle w:val="TOC2"/>
            <w:rPr>
              <w:rFonts w:asciiTheme="minorHAnsi" w:eastAsiaTheme="minorEastAsia" w:hAnsiTheme="minorHAnsi" w:cstheme="minorBidi"/>
              <w:noProof/>
              <w:color w:val="auto"/>
              <w:szCs w:val="22"/>
            </w:rPr>
          </w:pPr>
          <w:hyperlink w:anchor="_Toc477294873" w:history="1">
            <w:r w:rsidR="00E14BA1" w:rsidRPr="00FF0AA1">
              <w:rPr>
                <w:rStyle w:val="Hyperlink"/>
                <w:noProof/>
              </w:rPr>
              <w:t>Ahmadis as victims</w:t>
            </w:r>
            <w:r w:rsidR="00E14BA1">
              <w:rPr>
                <w:noProof/>
                <w:webHidden/>
              </w:rPr>
              <w:tab/>
            </w:r>
            <w:r w:rsidR="00E14BA1">
              <w:rPr>
                <w:noProof/>
                <w:webHidden/>
              </w:rPr>
              <w:fldChar w:fldCharType="begin"/>
            </w:r>
            <w:r w:rsidR="00E14BA1">
              <w:rPr>
                <w:noProof/>
                <w:webHidden/>
              </w:rPr>
              <w:instrText xml:space="preserve"> PAGEREF _Toc477294873 \h </w:instrText>
            </w:r>
            <w:r w:rsidR="00E14BA1">
              <w:rPr>
                <w:noProof/>
                <w:webHidden/>
              </w:rPr>
            </w:r>
            <w:r w:rsidR="00E14BA1">
              <w:rPr>
                <w:noProof/>
                <w:webHidden/>
              </w:rPr>
              <w:fldChar w:fldCharType="separate"/>
            </w:r>
            <w:r w:rsidR="00F52A18">
              <w:rPr>
                <w:noProof/>
                <w:webHidden/>
              </w:rPr>
              <w:t>20</w:t>
            </w:r>
            <w:r w:rsidR="00E14BA1">
              <w:rPr>
                <w:noProof/>
                <w:webHidden/>
              </w:rPr>
              <w:fldChar w:fldCharType="end"/>
            </w:r>
          </w:hyperlink>
        </w:p>
        <w:p w14:paraId="32B18BB3" w14:textId="70991527" w:rsidR="00E14BA1" w:rsidRDefault="00C67CA6">
          <w:pPr>
            <w:pStyle w:val="TOC2"/>
            <w:rPr>
              <w:rFonts w:asciiTheme="minorHAnsi" w:eastAsiaTheme="minorEastAsia" w:hAnsiTheme="minorHAnsi" w:cstheme="minorBidi"/>
              <w:noProof/>
              <w:color w:val="auto"/>
              <w:szCs w:val="22"/>
            </w:rPr>
          </w:pPr>
          <w:hyperlink w:anchor="_Toc477294874" w:history="1">
            <w:r w:rsidR="00E14BA1" w:rsidRPr="00FF0AA1">
              <w:rPr>
                <w:rStyle w:val="Hyperlink"/>
                <w:noProof/>
              </w:rPr>
              <w:t>Expectation next five years</w:t>
            </w:r>
            <w:r w:rsidR="00E14BA1">
              <w:rPr>
                <w:noProof/>
                <w:webHidden/>
              </w:rPr>
              <w:tab/>
            </w:r>
            <w:r w:rsidR="00E14BA1">
              <w:rPr>
                <w:noProof/>
                <w:webHidden/>
              </w:rPr>
              <w:fldChar w:fldCharType="begin"/>
            </w:r>
            <w:r w:rsidR="00E14BA1">
              <w:rPr>
                <w:noProof/>
                <w:webHidden/>
              </w:rPr>
              <w:instrText xml:space="preserve"> PAGEREF _Toc477294874 \h </w:instrText>
            </w:r>
            <w:r w:rsidR="00E14BA1">
              <w:rPr>
                <w:noProof/>
                <w:webHidden/>
              </w:rPr>
            </w:r>
            <w:r w:rsidR="00E14BA1">
              <w:rPr>
                <w:noProof/>
                <w:webHidden/>
              </w:rPr>
              <w:fldChar w:fldCharType="separate"/>
            </w:r>
            <w:r w:rsidR="00F52A18">
              <w:rPr>
                <w:noProof/>
                <w:webHidden/>
              </w:rPr>
              <w:t>21</w:t>
            </w:r>
            <w:r w:rsidR="00E14BA1">
              <w:rPr>
                <w:noProof/>
                <w:webHidden/>
              </w:rPr>
              <w:fldChar w:fldCharType="end"/>
            </w:r>
          </w:hyperlink>
        </w:p>
        <w:p w14:paraId="60491C81" w14:textId="510A0D79" w:rsidR="00E14BA1" w:rsidRDefault="00C67CA6">
          <w:pPr>
            <w:pStyle w:val="TOC1"/>
            <w:rPr>
              <w:rFonts w:asciiTheme="minorHAnsi" w:eastAsiaTheme="minorEastAsia" w:hAnsiTheme="minorHAnsi" w:cstheme="minorBidi"/>
              <w:b w:val="0"/>
              <w:bCs w:val="0"/>
              <w:noProof/>
              <w:color w:val="auto"/>
              <w:szCs w:val="22"/>
            </w:rPr>
          </w:pPr>
          <w:hyperlink w:anchor="_Toc477294875" w:history="1">
            <w:r w:rsidR="00E14BA1" w:rsidRPr="00FF0AA1">
              <w:rPr>
                <w:rStyle w:val="Hyperlink"/>
                <w:noProof/>
              </w:rPr>
              <w:t>Protection Mechanism</w:t>
            </w:r>
            <w:r w:rsidR="00E14BA1">
              <w:rPr>
                <w:noProof/>
                <w:webHidden/>
              </w:rPr>
              <w:tab/>
            </w:r>
            <w:r w:rsidR="00E14BA1">
              <w:rPr>
                <w:noProof/>
                <w:webHidden/>
              </w:rPr>
              <w:fldChar w:fldCharType="begin"/>
            </w:r>
            <w:r w:rsidR="00E14BA1">
              <w:rPr>
                <w:noProof/>
                <w:webHidden/>
              </w:rPr>
              <w:instrText xml:space="preserve"> PAGEREF _Toc477294875 \h </w:instrText>
            </w:r>
            <w:r w:rsidR="00E14BA1">
              <w:rPr>
                <w:noProof/>
                <w:webHidden/>
              </w:rPr>
            </w:r>
            <w:r w:rsidR="00E14BA1">
              <w:rPr>
                <w:noProof/>
                <w:webHidden/>
              </w:rPr>
              <w:fldChar w:fldCharType="separate"/>
            </w:r>
            <w:r w:rsidR="00F52A18">
              <w:rPr>
                <w:noProof/>
                <w:webHidden/>
              </w:rPr>
              <w:t>23</w:t>
            </w:r>
            <w:r w:rsidR="00E14BA1">
              <w:rPr>
                <w:noProof/>
                <w:webHidden/>
              </w:rPr>
              <w:fldChar w:fldCharType="end"/>
            </w:r>
          </w:hyperlink>
        </w:p>
        <w:p w14:paraId="6FD76FD4" w14:textId="4ED56027" w:rsidR="00E14BA1" w:rsidRDefault="00C67CA6">
          <w:pPr>
            <w:pStyle w:val="TOC2"/>
            <w:rPr>
              <w:rFonts w:asciiTheme="minorHAnsi" w:eastAsiaTheme="minorEastAsia" w:hAnsiTheme="minorHAnsi" w:cstheme="minorBidi"/>
              <w:noProof/>
              <w:color w:val="auto"/>
              <w:szCs w:val="22"/>
            </w:rPr>
          </w:pPr>
          <w:hyperlink w:anchor="_Toc477294876" w:history="1">
            <w:r w:rsidR="00E14BA1" w:rsidRPr="00FF0AA1">
              <w:rPr>
                <w:rStyle w:val="Hyperlink"/>
                <w:noProof/>
              </w:rPr>
              <w:t>Safety</w:t>
            </w:r>
            <w:r w:rsidR="00E14BA1">
              <w:rPr>
                <w:noProof/>
                <w:webHidden/>
              </w:rPr>
              <w:tab/>
            </w:r>
            <w:r w:rsidR="00E14BA1">
              <w:rPr>
                <w:noProof/>
                <w:webHidden/>
              </w:rPr>
              <w:fldChar w:fldCharType="begin"/>
            </w:r>
            <w:r w:rsidR="00E14BA1">
              <w:rPr>
                <w:noProof/>
                <w:webHidden/>
              </w:rPr>
              <w:instrText xml:space="preserve"> PAGEREF _Toc477294876 \h </w:instrText>
            </w:r>
            <w:r w:rsidR="00E14BA1">
              <w:rPr>
                <w:noProof/>
                <w:webHidden/>
              </w:rPr>
            </w:r>
            <w:r w:rsidR="00E14BA1">
              <w:rPr>
                <w:noProof/>
                <w:webHidden/>
              </w:rPr>
              <w:fldChar w:fldCharType="separate"/>
            </w:r>
            <w:r w:rsidR="00F52A18">
              <w:rPr>
                <w:noProof/>
                <w:webHidden/>
              </w:rPr>
              <w:t>23</w:t>
            </w:r>
            <w:r w:rsidR="00E14BA1">
              <w:rPr>
                <w:noProof/>
                <w:webHidden/>
              </w:rPr>
              <w:fldChar w:fldCharType="end"/>
            </w:r>
          </w:hyperlink>
        </w:p>
        <w:p w14:paraId="36EA1898" w14:textId="42A99F8C" w:rsidR="00E14BA1" w:rsidRDefault="00C67CA6">
          <w:pPr>
            <w:pStyle w:val="TOC2"/>
            <w:rPr>
              <w:rFonts w:asciiTheme="minorHAnsi" w:eastAsiaTheme="minorEastAsia" w:hAnsiTheme="minorHAnsi" w:cstheme="minorBidi"/>
              <w:noProof/>
              <w:color w:val="auto"/>
              <w:szCs w:val="22"/>
            </w:rPr>
          </w:pPr>
          <w:hyperlink w:anchor="_Toc477294877" w:history="1">
            <w:r w:rsidR="00E14BA1" w:rsidRPr="00FF0AA1">
              <w:rPr>
                <w:rStyle w:val="Hyperlink"/>
                <w:noProof/>
              </w:rPr>
              <w:t>Reporting of incidents</w:t>
            </w:r>
            <w:r w:rsidR="00E14BA1">
              <w:rPr>
                <w:noProof/>
                <w:webHidden/>
              </w:rPr>
              <w:tab/>
            </w:r>
            <w:r w:rsidR="00E14BA1">
              <w:rPr>
                <w:noProof/>
                <w:webHidden/>
              </w:rPr>
              <w:fldChar w:fldCharType="begin"/>
            </w:r>
            <w:r w:rsidR="00E14BA1">
              <w:rPr>
                <w:noProof/>
                <w:webHidden/>
              </w:rPr>
              <w:instrText xml:space="preserve"> PAGEREF _Toc477294877 \h </w:instrText>
            </w:r>
            <w:r w:rsidR="00E14BA1">
              <w:rPr>
                <w:noProof/>
                <w:webHidden/>
              </w:rPr>
            </w:r>
            <w:r w:rsidR="00E14BA1">
              <w:rPr>
                <w:noProof/>
                <w:webHidden/>
              </w:rPr>
              <w:fldChar w:fldCharType="separate"/>
            </w:r>
            <w:r w:rsidR="00F52A18">
              <w:rPr>
                <w:noProof/>
                <w:webHidden/>
              </w:rPr>
              <w:t>24</w:t>
            </w:r>
            <w:r w:rsidR="00E14BA1">
              <w:rPr>
                <w:noProof/>
                <w:webHidden/>
              </w:rPr>
              <w:fldChar w:fldCharType="end"/>
            </w:r>
          </w:hyperlink>
        </w:p>
        <w:p w14:paraId="4DBE4D5E" w14:textId="2FBC7137" w:rsidR="00E14BA1" w:rsidRDefault="00C67CA6">
          <w:pPr>
            <w:pStyle w:val="TOC2"/>
            <w:rPr>
              <w:rFonts w:asciiTheme="minorHAnsi" w:eastAsiaTheme="minorEastAsia" w:hAnsiTheme="minorHAnsi" w:cstheme="minorBidi"/>
              <w:noProof/>
              <w:color w:val="auto"/>
              <w:szCs w:val="22"/>
            </w:rPr>
          </w:pPr>
          <w:hyperlink w:anchor="_Toc477294878" w:history="1">
            <w:r w:rsidR="00E14BA1" w:rsidRPr="00FF0AA1">
              <w:rPr>
                <w:rStyle w:val="Hyperlink"/>
                <w:noProof/>
              </w:rPr>
              <w:t>Roles and responsibilities to protect</w:t>
            </w:r>
            <w:r w:rsidR="00E14BA1">
              <w:rPr>
                <w:noProof/>
                <w:webHidden/>
              </w:rPr>
              <w:tab/>
            </w:r>
            <w:r w:rsidR="00E14BA1">
              <w:rPr>
                <w:noProof/>
                <w:webHidden/>
              </w:rPr>
              <w:fldChar w:fldCharType="begin"/>
            </w:r>
            <w:r w:rsidR="00E14BA1">
              <w:rPr>
                <w:noProof/>
                <w:webHidden/>
              </w:rPr>
              <w:instrText xml:space="preserve"> PAGEREF _Toc477294878 \h </w:instrText>
            </w:r>
            <w:r w:rsidR="00E14BA1">
              <w:rPr>
                <w:noProof/>
                <w:webHidden/>
              </w:rPr>
            </w:r>
            <w:r w:rsidR="00E14BA1">
              <w:rPr>
                <w:noProof/>
                <w:webHidden/>
              </w:rPr>
              <w:fldChar w:fldCharType="separate"/>
            </w:r>
            <w:r w:rsidR="00F52A18">
              <w:rPr>
                <w:noProof/>
                <w:webHidden/>
              </w:rPr>
              <w:t>25</w:t>
            </w:r>
            <w:r w:rsidR="00E14BA1">
              <w:rPr>
                <w:noProof/>
                <w:webHidden/>
              </w:rPr>
              <w:fldChar w:fldCharType="end"/>
            </w:r>
          </w:hyperlink>
        </w:p>
        <w:p w14:paraId="18AAFA4C" w14:textId="7C622F30" w:rsidR="00E14BA1" w:rsidRDefault="00C67CA6">
          <w:pPr>
            <w:pStyle w:val="TOC1"/>
            <w:rPr>
              <w:rFonts w:asciiTheme="minorHAnsi" w:eastAsiaTheme="minorEastAsia" w:hAnsiTheme="minorHAnsi" w:cstheme="minorBidi"/>
              <w:b w:val="0"/>
              <w:bCs w:val="0"/>
              <w:noProof/>
              <w:color w:val="auto"/>
              <w:szCs w:val="22"/>
            </w:rPr>
          </w:pPr>
          <w:hyperlink w:anchor="_Toc477294879" w:history="1">
            <w:r w:rsidR="00E14BA1" w:rsidRPr="00FF0AA1">
              <w:rPr>
                <w:rStyle w:val="Hyperlink"/>
                <w:noProof/>
              </w:rPr>
              <w:t>Conclusion &amp; Recommendations</w:t>
            </w:r>
            <w:r w:rsidR="00E14BA1">
              <w:rPr>
                <w:noProof/>
                <w:webHidden/>
              </w:rPr>
              <w:tab/>
            </w:r>
            <w:r w:rsidR="00E14BA1">
              <w:rPr>
                <w:noProof/>
                <w:webHidden/>
              </w:rPr>
              <w:fldChar w:fldCharType="begin"/>
            </w:r>
            <w:r w:rsidR="00E14BA1">
              <w:rPr>
                <w:noProof/>
                <w:webHidden/>
              </w:rPr>
              <w:instrText xml:space="preserve"> PAGEREF _Toc477294879 \h </w:instrText>
            </w:r>
            <w:r w:rsidR="00E14BA1">
              <w:rPr>
                <w:noProof/>
                <w:webHidden/>
              </w:rPr>
            </w:r>
            <w:r w:rsidR="00E14BA1">
              <w:rPr>
                <w:noProof/>
                <w:webHidden/>
              </w:rPr>
              <w:fldChar w:fldCharType="separate"/>
            </w:r>
            <w:r w:rsidR="00F52A18">
              <w:rPr>
                <w:noProof/>
                <w:webHidden/>
              </w:rPr>
              <w:t>31</w:t>
            </w:r>
            <w:r w:rsidR="00E14BA1">
              <w:rPr>
                <w:noProof/>
                <w:webHidden/>
              </w:rPr>
              <w:fldChar w:fldCharType="end"/>
            </w:r>
          </w:hyperlink>
        </w:p>
        <w:p w14:paraId="725105B4" w14:textId="28D88A53" w:rsidR="00E14BA1" w:rsidRDefault="00C67CA6">
          <w:pPr>
            <w:pStyle w:val="TOC1"/>
            <w:rPr>
              <w:rFonts w:asciiTheme="minorHAnsi" w:eastAsiaTheme="minorEastAsia" w:hAnsiTheme="minorHAnsi" w:cstheme="minorBidi"/>
              <w:b w:val="0"/>
              <w:bCs w:val="0"/>
              <w:noProof/>
              <w:color w:val="auto"/>
              <w:szCs w:val="22"/>
            </w:rPr>
          </w:pPr>
          <w:hyperlink w:anchor="_Toc477294880" w:history="1">
            <w:r w:rsidR="00E14BA1" w:rsidRPr="00FF0AA1">
              <w:rPr>
                <w:rStyle w:val="Hyperlink"/>
                <w:noProof/>
              </w:rPr>
              <w:t>Annex 1: Experience of respondent/family member of any kind of violence as Ahmadiyya</w:t>
            </w:r>
            <w:r w:rsidR="00E14BA1">
              <w:rPr>
                <w:noProof/>
                <w:webHidden/>
              </w:rPr>
              <w:tab/>
            </w:r>
            <w:r w:rsidR="00E14BA1">
              <w:rPr>
                <w:noProof/>
                <w:webHidden/>
              </w:rPr>
              <w:fldChar w:fldCharType="begin"/>
            </w:r>
            <w:r w:rsidR="00E14BA1">
              <w:rPr>
                <w:noProof/>
                <w:webHidden/>
              </w:rPr>
              <w:instrText xml:space="preserve"> PAGEREF _Toc477294880 \h </w:instrText>
            </w:r>
            <w:r w:rsidR="00E14BA1">
              <w:rPr>
                <w:noProof/>
                <w:webHidden/>
              </w:rPr>
            </w:r>
            <w:r w:rsidR="00E14BA1">
              <w:rPr>
                <w:noProof/>
                <w:webHidden/>
              </w:rPr>
              <w:fldChar w:fldCharType="separate"/>
            </w:r>
            <w:r w:rsidR="00F52A18">
              <w:rPr>
                <w:noProof/>
                <w:webHidden/>
              </w:rPr>
              <w:t>1</w:t>
            </w:r>
            <w:r w:rsidR="00E14BA1">
              <w:rPr>
                <w:noProof/>
                <w:webHidden/>
              </w:rPr>
              <w:fldChar w:fldCharType="end"/>
            </w:r>
          </w:hyperlink>
        </w:p>
        <w:p w14:paraId="2954D143" w14:textId="18727438" w:rsidR="00E14BA1" w:rsidRDefault="00C67CA6">
          <w:pPr>
            <w:pStyle w:val="TOC1"/>
            <w:rPr>
              <w:rFonts w:asciiTheme="minorHAnsi" w:eastAsiaTheme="minorEastAsia" w:hAnsiTheme="minorHAnsi" w:cstheme="minorBidi"/>
              <w:b w:val="0"/>
              <w:bCs w:val="0"/>
              <w:noProof/>
              <w:color w:val="auto"/>
              <w:szCs w:val="22"/>
            </w:rPr>
          </w:pPr>
          <w:hyperlink w:anchor="_Toc477294881" w:history="1">
            <w:r w:rsidR="00E14BA1" w:rsidRPr="00FF0AA1">
              <w:rPr>
                <w:rStyle w:val="Hyperlink"/>
                <w:noProof/>
              </w:rPr>
              <w:t>Annex 2: Are there local laws and regulations in your area undermining the Ahmadiyya community (by area)</w:t>
            </w:r>
            <w:r w:rsidR="00E14BA1">
              <w:rPr>
                <w:noProof/>
                <w:webHidden/>
              </w:rPr>
              <w:tab/>
            </w:r>
            <w:r w:rsidR="00E14BA1">
              <w:rPr>
                <w:noProof/>
                <w:webHidden/>
              </w:rPr>
              <w:fldChar w:fldCharType="begin"/>
            </w:r>
            <w:r w:rsidR="00E14BA1">
              <w:rPr>
                <w:noProof/>
                <w:webHidden/>
              </w:rPr>
              <w:instrText xml:space="preserve"> PAGEREF _Toc477294881 \h </w:instrText>
            </w:r>
            <w:r w:rsidR="00E14BA1">
              <w:rPr>
                <w:noProof/>
                <w:webHidden/>
              </w:rPr>
            </w:r>
            <w:r w:rsidR="00E14BA1">
              <w:rPr>
                <w:noProof/>
                <w:webHidden/>
              </w:rPr>
              <w:fldChar w:fldCharType="separate"/>
            </w:r>
            <w:r w:rsidR="00F52A18">
              <w:rPr>
                <w:noProof/>
                <w:webHidden/>
              </w:rPr>
              <w:t>2</w:t>
            </w:r>
            <w:r w:rsidR="00E14BA1">
              <w:rPr>
                <w:noProof/>
                <w:webHidden/>
              </w:rPr>
              <w:fldChar w:fldCharType="end"/>
            </w:r>
          </w:hyperlink>
        </w:p>
        <w:p w14:paraId="35ECCF62" w14:textId="50B81959" w:rsidR="00E14BA1" w:rsidRDefault="00C67CA6">
          <w:pPr>
            <w:pStyle w:val="TOC1"/>
            <w:rPr>
              <w:rFonts w:asciiTheme="minorHAnsi" w:eastAsiaTheme="minorEastAsia" w:hAnsiTheme="minorHAnsi" w:cstheme="minorBidi"/>
              <w:b w:val="0"/>
              <w:bCs w:val="0"/>
              <w:noProof/>
              <w:color w:val="auto"/>
              <w:szCs w:val="22"/>
            </w:rPr>
          </w:pPr>
          <w:hyperlink w:anchor="_Toc477294882" w:history="1">
            <w:r w:rsidR="00E14BA1" w:rsidRPr="00FF0AA1">
              <w:rPr>
                <w:rStyle w:val="Hyperlink"/>
                <w:noProof/>
              </w:rPr>
              <w:t>Annex 3: Government bodies</w:t>
            </w:r>
            <w:r w:rsidR="00E14BA1">
              <w:rPr>
                <w:noProof/>
                <w:webHidden/>
              </w:rPr>
              <w:tab/>
            </w:r>
            <w:r w:rsidR="00E14BA1">
              <w:rPr>
                <w:noProof/>
                <w:webHidden/>
              </w:rPr>
              <w:fldChar w:fldCharType="begin"/>
            </w:r>
            <w:r w:rsidR="00E14BA1">
              <w:rPr>
                <w:noProof/>
                <w:webHidden/>
              </w:rPr>
              <w:instrText xml:space="preserve"> PAGEREF _Toc477294882 \h </w:instrText>
            </w:r>
            <w:r w:rsidR="00E14BA1">
              <w:rPr>
                <w:noProof/>
                <w:webHidden/>
              </w:rPr>
            </w:r>
            <w:r w:rsidR="00E14BA1">
              <w:rPr>
                <w:noProof/>
                <w:webHidden/>
              </w:rPr>
              <w:fldChar w:fldCharType="separate"/>
            </w:r>
            <w:r w:rsidR="00F52A18">
              <w:rPr>
                <w:noProof/>
                <w:webHidden/>
              </w:rPr>
              <w:t>3</w:t>
            </w:r>
            <w:r w:rsidR="00E14BA1">
              <w:rPr>
                <w:noProof/>
                <w:webHidden/>
              </w:rPr>
              <w:fldChar w:fldCharType="end"/>
            </w:r>
          </w:hyperlink>
        </w:p>
        <w:p w14:paraId="58DCA67C" w14:textId="4A8365F7" w:rsidR="00E14BA1" w:rsidRDefault="00C67CA6">
          <w:pPr>
            <w:pStyle w:val="TOC1"/>
            <w:rPr>
              <w:rFonts w:asciiTheme="minorHAnsi" w:eastAsiaTheme="minorEastAsia" w:hAnsiTheme="minorHAnsi" w:cstheme="minorBidi"/>
              <w:b w:val="0"/>
              <w:bCs w:val="0"/>
              <w:noProof/>
              <w:color w:val="auto"/>
              <w:szCs w:val="22"/>
            </w:rPr>
          </w:pPr>
          <w:hyperlink w:anchor="_Toc477294883" w:history="1">
            <w:r w:rsidR="00E14BA1" w:rsidRPr="00FF0AA1">
              <w:rPr>
                <w:rStyle w:val="Hyperlink"/>
                <w:noProof/>
              </w:rPr>
              <w:t>Annex 4: Context Analysis</w:t>
            </w:r>
            <w:r w:rsidR="00E14BA1">
              <w:rPr>
                <w:noProof/>
                <w:webHidden/>
              </w:rPr>
              <w:tab/>
            </w:r>
            <w:r w:rsidR="00E14BA1">
              <w:rPr>
                <w:noProof/>
                <w:webHidden/>
              </w:rPr>
              <w:fldChar w:fldCharType="begin"/>
            </w:r>
            <w:r w:rsidR="00E14BA1">
              <w:rPr>
                <w:noProof/>
                <w:webHidden/>
              </w:rPr>
              <w:instrText xml:space="preserve"> PAGEREF _Toc477294883 \h </w:instrText>
            </w:r>
            <w:r w:rsidR="00E14BA1">
              <w:rPr>
                <w:noProof/>
                <w:webHidden/>
              </w:rPr>
            </w:r>
            <w:r w:rsidR="00E14BA1">
              <w:rPr>
                <w:noProof/>
                <w:webHidden/>
              </w:rPr>
              <w:fldChar w:fldCharType="separate"/>
            </w:r>
            <w:r w:rsidR="00F52A18">
              <w:rPr>
                <w:noProof/>
                <w:webHidden/>
              </w:rPr>
              <w:t>1</w:t>
            </w:r>
            <w:r w:rsidR="00E14BA1">
              <w:rPr>
                <w:noProof/>
                <w:webHidden/>
              </w:rPr>
              <w:fldChar w:fldCharType="end"/>
            </w:r>
          </w:hyperlink>
        </w:p>
        <w:p w14:paraId="0D6CD3C6" w14:textId="24D180D6" w:rsidR="00077616" w:rsidRPr="006266CF" w:rsidRDefault="00077616">
          <w:r w:rsidRPr="006266CF">
            <w:rPr>
              <w:rFonts w:cs="Arial"/>
              <w:b/>
              <w:bCs/>
            </w:rPr>
            <w:fldChar w:fldCharType="end"/>
          </w:r>
        </w:p>
      </w:sdtContent>
    </w:sdt>
    <w:p w14:paraId="2304FF5D" w14:textId="77777777" w:rsidR="008D54E1" w:rsidRPr="006266CF" w:rsidRDefault="008D54E1" w:rsidP="00AE797E"/>
    <w:p w14:paraId="11C5619D" w14:textId="77777777" w:rsidR="009E15D0" w:rsidRPr="006266CF" w:rsidRDefault="009E15D0" w:rsidP="00817BC9">
      <w:pPr>
        <w:pStyle w:val="NewBodyText"/>
      </w:pPr>
    </w:p>
    <w:p w14:paraId="5C3E7ACE" w14:textId="77777777" w:rsidR="009E15D0" w:rsidRPr="006266CF" w:rsidRDefault="009E15D0" w:rsidP="00817BC9">
      <w:pPr>
        <w:pStyle w:val="NewBodyText"/>
      </w:pPr>
    </w:p>
    <w:p w14:paraId="63FA2892" w14:textId="77777777" w:rsidR="004E5451" w:rsidRPr="006266CF" w:rsidRDefault="004E5451" w:rsidP="00817BC9">
      <w:pPr>
        <w:pStyle w:val="NewBodyText"/>
      </w:pPr>
    </w:p>
    <w:p w14:paraId="0EF34CEC" w14:textId="77777777" w:rsidR="00F9147A" w:rsidRPr="006266CF" w:rsidRDefault="00F9147A" w:rsidP="00817BC9">
      <w:pPr>
        <w:pStyle w:val="NewBodyText"/>
      </w:pPr>
    </w:p>
    <w:p w14:paraId="26DAB215" w14:textId="77777777" w:rsidR="00F9147A" w:rsidRPr="006266CF" w:rsidRDefault="00F9147A" w:rsidP="00817BC9">
      <w:pPr>
        <w:pStyle w:val="NewBodyText"/>
        <w:sectPr w:rsidR="00F9147A" w:rsidRPr="006266CF" w:rsidSect="0042366B">
          <w:headerReference w:type="default" r:id="rId13"/>
          <w:footerReference w:type="default" r:id="rId14"/>
          <w:headerReference w:type="first" r:id="rId15"/>
          <w:footerReference w:type="first" r:id="rId16"/>
          <w:pgSz w:w="11907" w:h="16839" w:code="9"/>
          <w:pgMar w:top="5670" w:right="1134" w:bottom="992" w:left="1134" w:header="567" w:footer="567" w:gutter="0"/>
          <w:pgNumType w:start="1"/>
          <w:cols w:space="720"/>
          <w:docGrid w:linePitch="360"/>
        </w:sectPr>
      </w:pPr>
    </w:p>
    <w:p w14:paraId="2EEE99E2" w14:textId="77777777" w:rsidR="00F35AE7" w:rsidRPr="006266CF" w:rsidRDefault="00ED6AFC" w:rsidP="00ED6AFC">
      <w:pPr>
        <w:pStyle w:val="Heading1"/>
      </w:pPr>
      <w:bookmarkStart w:id="1" w:name="_Toc477294854"/>
      <w:r w:rsidRPr="006266CF">
        <w:lastRenderedPageBreak/>
        <w:t>Executive Summary</w:t>
      </w:r>
      <w:bookmarkEnd w:id="1"/>
    </w:p>
    <w:p w14:paraId="214E473D" w14:textId="77777777" w:rsidR="006429F1" w:rsidRPr="006429F1" w:rsidRDefault="006429F1" w:rsidP="006429F1">
      <w:pPr>
        <w:keepNext/>
        <w:spacing w:before="180" w:after="180"/>
        <w:contextualSpacing/>
        <w:jc w:val="left"/>
        <w:outlineLvl w:val="1"/>
        <w:rPr>
          <w:rFonts w:ascii="Jura" w:eastAsia="MS Gothic" w:hAnsi="Jura"/>
          <w:b/>
          <w:bCs/>
          <w:iCs/>
          <w:color w:val="EFA261" w:themeColor="accent1"/>
          <w:kern w:val="32"/>
          <w:sz w:val="32"/>
          <w:szCs w:val="28"/>
        </w:rPr>
      </w:pPr>
      <w:r w:rsidRPr="006429F1">
        <w:rPr>
          <w:rFonts w:ascii="Jura" w:eastAsia="MS Gothic" w:hAnsi="Jura"/>
          <w:b/>
          <w:bCs/>
          <w:iCs/>
          <w:noProof/>
          <w:color w:val="EFA261" w:themeColor="accent1"/>
          <w:kern w:val="32"/>
          <w:sz w:val="32"/>
          <w:szCs w:val="28"/>
        </w:rPr>
        <mc:AlternateContent>
          <mc:Choice Requires="wps">
            <w:drawing>
              <wp:anchor distT="45720" distB="45720" distL="114300" distR="114300" simplePos="0" relativeHeight="251689984" behindDoc="0" locked="0" layoutInCell="1" allowOverlap="1" wp14:anchorId="21FB1C61" wp14:editId="42D8DBDD">
                <wp:simplePos x="0" y="0"/>
                <wp:positionH relativeFrom="column">
                  <wp:posOffset>3996690</wp:posOffset>
                </wp:positionH>
                <wp:positionV relativeFrom="paragraph">
                  <wp:posOffset>246380</wp:posOffset>
                </wp:positionV>
                <wp:extent cx="2223770" cy="773430"/>
                <wp:effectExtent l="0" t="0" r="508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773430"/>
                        </a:xfrm>
                        <a:prstGeom prst="rect">
                          <a:avLst/>
                        </a:prstGeom>
                        <a:solidFill>
                          <a:srgbClr val="FFFFFF"/>
                        </a:solidFill>
                        <a:ln w="9525">
                          <a:noFill/>
                          <a:miter lim="800000"/>
                          <a:headEnd/>
                          <a:tailEnd/>
                        </a:ln>
                      </wps:spPr>
                      <wps:txbx>
                        <w:txbxContent>
                          <w:p w14:paraId="15905A60" w14:textId="04B8FCFD" w:rsidR="00F52A18" w:rsidRDefault="00F52A18" w:rsidP="006429F1">
                            <w:pPr>
                              <w:pBdr>
                                <w:left w:val="single" w:sz="4" w:space="4" w:color="3597EB" w:themeColor="accent2"/>
                              </w:pBdr>
                              <w:spacing w:after="0"/>
                              <w:jc w:val="right"/>
                              <w:rPr>
                                <w:color w:val="3597EB" w:themeColor="accent2"/>
                                <w:sz w:val="24"/>
                              </w:rPr>
                            </w:pPr>
                            <w:r>
                              <w:rPr>
                                <w:color w:val="3597EB" w:themeColor="accent2"/>
                                <w:sz w:val="24"/>
                              </w:rPr>
                              <w:t>The Ahmadiyya in Indonesia live by their motto: “Love for all, hatred for none”</w:t>
                            </w:r>
                          </w:p>
                          <w:p w14:paraId="5DE7D11E" w14:textId="77777777" w:rsidR="00F52A18" w:rsidRPr="00BB2229" w:rsidRDefault="00F52A18" w:rsidP="006429F1">
                            <w:pPr>
                              <w:pBdr>
                                <w:left w:val="single" w:sz="4" w:space="4" w:color="3597EB" w:themeColor="accent2"/>
                              </w:pBdr>
                              <w:spacing w:after="0"/>
                              <w:jc w:val="right"/>
                              <w:rPr>
                                <w:color w:val="3597EB" w:themeColor="accent2"/>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B1C61" id="_x0000_t202" coordsize="21600,21600" o:spt="202" path="m,l,21600r21600,l21600,xe">
                <v:stroke joinstyle="miter"/>
                <v:path gradientshapeok="t" o:connecttype="rect"/>
              </v:shapetype>
              <v:shape id="Text Box 2" o:spid="_x0000_s1026" type="#_x0000_t202" style="position:absolute;margin-left:314.7pt;margin-top:19.4pt;width:175.1pt;height:60.9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4OgIQIAAB0EAAAOAAAAZHJzL2Uyb0RvYy54bWysU21v2yAQ/j5p/wHxfXHiJHNrxam6dJkm&#10;dS9Sux+AMY7RgGNAYme/fgdO06j7VpUPiOOOh7vnnlvdDFqRg3BegqnobDKlRBgOjTS7iv563H64&#10;osQHZhqmwIiKHoWnN+v371a9LUUOHahGOIIgxpe9rWgXgi2zzPNOaOYnYIVBZwtOs4Cm22WNYz2i&#10;a5Xl0+nHrAfXWAdceI+3d6OTrhN+2woefrStF4GoimJuIe0u7XXcs/WKlTvHbCf5KQ32iiw0kwY/&#10;PUPdscDI3sn/oLTkDjy0YcJBZ9C2kotUA1Yzm76o5qFjVqRakBxvzzT5t4Pl3w8/HZFNRfNZQYlh&#10;Gpv0KIZAPsFA8shPb32JYQ8WA8OA19jnVKu398B/e2Jg0zGzE7fOQd8J1mB+s/gyu3g64vgIUvff&#10;oMFv2D5AAhpapyN5SAdBdOzT8dybmArHyzzP50WBLo6+opgv5ql5GSufXlvnwxcBmsRDRR32PqGz&#10;w70PMRtWPoXEzzwo2WylUslwu3qjHDkw1Mk2rVTAizBlSF/R62W+TMgG4vskIS0D6lhJXdGraVyj&#10;siIbn02TQgKTajxjJsqc6ImMjNyEoR4wMHJWQ3NEohyMesX5wkMH7i8lPWq1ov7PnjlBifpqkOzr&#10;2WIRxZ2MxbLI0XCXnvrSwwxHqIoGSsbjJqSBiDwYuMWmtDLx9ZzJKVfUYKLxNC9R5Jd2inqe6vU/&#10;AAAA//8DAFBLAwQUAAYACAAAACEAsXoR1t4AAAAKAQAADwAAAGRycy9kb3ducmV2LnhtbEyPQU7D&#10;MBBF90jcwRokNog6lOI0aZwKkEBsW3qASewmUeNxFLtNenuGFSxH8/T/+8V2dr242DF0njQ8LRIQ&#10;lmpvOmo0HL4/HtcgQkQy2HuyGq42wLa8vSkwN36inb3sYyM4hEKOGtoYh1zKULfWYVj4wRL/jn50&#10;GPkcG2lGnDjc9XKZJEo67IgbWhzse2vr0/7sNBy/poeXbKo+4yHdrdQbdmnlr1rf382vGxDRzvEP&#10;hl99VoeSnSp/JhNEr0EtsxWjGp7XPIGBLM0UiIpJlSiQZSH/Tyh/AAAA//8DAFBLAQItABQABgAI&#10;AAAAIQC2gziS/gAAAOEBAAATAAAAAAAAAAAAAAAAAAAAAABbQ29udGVudF9UeXBlc10ueG1sUEsB&#10;Ai0AFAAGAAgAAAAhADj9If/WAAAAlAEAAAsAAAAAAAAAAAAAAAAALwEAAF9yZWxzLy5yZWxzUEsB&#10;Ai0AFAAGAAgAAAAhAOIvg6AhAgAAHQQAAA4AAAAAAAAAAAAAAAAALgIAAGRycy9lMm9Eb2MueG1s&#10;UEsBAi0AFAAGAAgAAAAhALF6EdbeAAAACgEAAA8AAAAAAAAAAAAAAAAAewQAAGRycy9kb3ducmV2&#10;LnhtbFBLBQYAAAAABAAEAPMAAACGBQAAAAA=&#10;" stroked="f">
                <v:textbox>
                  <w:txbxContent>
                    <w:p w14:paraId="15905A60" w14:textId="04B8FCFD" w:rsidR="00F52A18" w:rsidRDefault="00F52A18" w:rsidP="006429F1">
                      <w:pPr>
                        <w:pBdr>
                          <w:left w:val="single" w:sz="4" w:space="4" w:color="3597EB" w:themeColor="accent2"/>
                        </w:pBdr>
                        <w:spacing w:after="0"/>
                        <w:jc w:val="right"/>
                        <w:rPr>
                          <w:color w:val="3597EB" w:themeColor="accent2"/>
                          <w:sz w:val="24"/>
                        </w:rPr>
                      </w:pPr>
                      <w:r>
                        <w:rPr>
                          <w:color w:val="3597EB" w:themeColor="accent2"/>
                          <w:sz w:val="24"/>
                        </w:rPr>
                        <w:t>The Ahmadiyya in Indonesia live by their motto: “Love for all, hatred for none”</w:t>
                      </w:r>
                    </w:p>
                    <w:p w14:paraId="5DE7D11E" w14:textId="77777777" w:rsidR="00F52A18" w:rsidRPr="00BB2229" w:rsidRDefault="00F52A18" w:rsidP="006429F1">
                      <w:pPr>
                        <w:pBdr>
                          <w:left w:val="single" w:sz="4" w:space="4" w:color="3597EB" w:themeColor="accent2"/>
                        </w:pBdr>
                        <w:spacing w:after="0"/>
                        <w:jc w:val="right"/>
                        <w:rPr>
                          <w:color w:val="3597EB" w:themeColor="accent2"/>
                          <w:sz w:val="24"/>
                        </w:rPr>
                      </w:pPr>
                    </w:p>
                  </w:txbxContent>
                </v:textbox>
                <w10:wrap type="square"/>
              </v:shape>
            </w:pict>
          </mc:Fallback>
        </mc:AlternateContent>
      </w:r>
      <w:r w:rsidRPr="006429F1">
        <w:rPr>
          <w:rFonts w:ascii="Jura" w:eastAsia="MS Gothic" w:hAnsi="Jura"/>
          <w:b/>
          <w:bCs/>
          <w:iCs/>
          <w:color w:val="EFA261" w:themeColor="accent1"/>
          <w:kern w:val="32"/>
          <w:sz w:val="32"/>
          <w:szCs w:val="28"/>
        </w:rPr>
        <w:t>Background</w:t>
      </w:r>
    </w:p>
    <w:p w14:paraId="530FB2BF" w14:textId="053DC442" w:rsidR="006429F1" w:rsidRPr="006429F1" w:rsidRDefault="006429F1" w:rsidP="006429F1">
      <w:r w:rsidRPr="006429F1">
        <w:t xml:space="preserve">Between May 2016 and March 2017 Farsight partnered with </w:t>
      </w:r>
      <w:proofErr w:type="spellStart"/>
      <w:r w:rsidRPr="006429F1">
        <w:t>Setara</w:t>
      </w:r>
      <w:proofErr w:type="spellEnd"/>
      <w:r w:rsidRPr="006429F1">
        <w:t xml:space="preserve"> Institute and </w:t>
      </w:r>
      <w:proofErr w:type="spellStart"/>
      <w:r w:rsidRPr="006429F1">
        <w:t>Fahmina</w:t>
      </w:r>
      <w:proofErr w:type="spellEnd"/>
      <w:r w:rsidRPr="006429F1">
        <w:t xml:space="preserve"> Institute to conduct a study on the protection and security situation of the Ahmadiyya in Indonesia. The research fills a large gap in existing evidence and quantitative data on the sources of discrimination, violence and exclusion experienced by Ahmadis in Indonesia, as well as the responses and the resilience of affected </w:t>
      </w:r>
      <w:r>
        <w:t>communities</w:t>
      </w:r>
      <w:r w:rsidRPr="006429F1">
        <w:t xml:space="preserve">. A total of 400 respondents were covered in a household survey conducted in </w:t>
      </w:r>
      <w:r>
        <w:t>Tasikmalaya, Depok, Sukabumi, Kuningan and Bogor</w:t>
      </w:r>
      <w:r w:rsidRPr="006429F1">
        <w:t>. 30.75 percent of the respondents were women, 69.25 percent were men. Focus Group Discussions were conducted in the research areas to obtain more insightful and qualitative data from especially, female, male and young Ahmadis. Key Informant Interviews were held with officers from government and law enforcement agencies, religious leaders and NGOs.</w:t>
      </w:r>
    </w:p>
    <w:p w14:paraId="1C491D16" w14:textId="77777777" w:rsidR="006429F1" w:rsidRPr="006429F1" w:rsidRDefault="006429F1" w:rsidP="006429F1">
      <w:pPr>
        <w:keepNext/>
        <w:tabs>
          <w:tab w:val="left" w:pos="2590"/>
        </w:tabs>
        <w:spacing w:before="180" w:after="180"/>
        <w:contextualSpacing/>
        <w:jc w:val="left"/>
        <w:outlineLvl w:val="1"/>
        <w:rPr>
          <w:rFonts w:ascii="Jura" w:eastAsia="MS Gothic" w:hAnsi="Jura"/>
          <w:b/>
          <w:bCs/>
          <w:iCs/>
          <w:color w:val="EFA261" w:themeColor="accent1"/>
          <w:kern w:val="32"/>
          <w:sz w:val="32"/>
          <w:szCs w:val="28"/>
        </w:rPr>
      </w:pPr>
      <w:r w:rsidRPr="006429F1">
        <w:rPr>
          <w:rFonts w:ascii="Jura" w:eastAsia="MS Gothic" w:hAnsi="Jura"/>
          <w:b/>
          <w:bCs/>
          <w:iCs/>
          <w:color w:val="EFA261" w:themeColor="accent1"/>
          <w:kern w:val="32"/>
          <w:sz w:val="32"/>
          <w:szCs w:val="28"/>
        </w:rPr>
        <w:t>Key findings</w:t>
      </w:r>
      <w:r w:rsidRPr="006429F1">
        <w:rPr>
          <w:rFonts w:ascii="Jura" w:eastAsia="MS Gothic" w:hAnsi="Jura"/>
          <w:b/>
          <w:bCs/>
          <w:iCs/>
          <w:color w:val="EFA261" w:themeColor="accent1"/>
          <w:kern w:val="32"/>
          <w:sz w:val="32"/>
          <w:szCs w:val="28"/>
        </w:rPr>
        <w:tab/>
      </w:r>
    </w:p>
    <w:p w14:paraId="3BED8459" w14:textId="77777777" w:rsidR="006429F1" w:rsidRPr="006429F1" w:rsidRDefault="006429F1" w:rsidP="006429F1">
      <w:r w:rsidRPr="006429F1">
        <w:t xml:space="preserve">Overall the findings demonstrate the prevalence of discrimination and violence. 58.75% of the respondents have indicated to have felt discriminated against in the last five years. They stipulated the biggest challenge is to register marriages at the Office of Religious Affairs, followed by obtaining population registration services provided by the Civil Population Registration Office. </w:t>
      </w:r>
    </w:p>
    <w:p w14:paraId="6FBEE39A" w14:textId="77777777" w:rsidR="006429F1" w:rsidRPr="006429F1" w:rsidRDefault="006429F1" w:rsidP="006429F1">
      <w:r w:rsidRPr="006429F1">
        <w:t>35% of the respondents said they experienced violence in the last five years. The most reported violence is verbally expressed hatred. Compared to their male counterparts, a larger portion of female respondents said they or a family member experienced discrimination or violence.</w:t>
      </w:r>
    </w:p>
    <w:p w14:paraId="092E7858" w14:textId="77777777" w:rsidR="006429F1" w:rsidRPr="006429F1" w:rsidRDefault="006429F1" w:rsidP="006429F1">
      <w:r w:rsidRPr="006429F1">
        <w:rPr>
          <w:color w:val="000000"/>
        </w:rPr>
        <w:t>Despite these experiences, Ahmadiyya communities live in harmony with their neighbors and their direct surroundings. The level of interaction between Ahmadiyya and non-Ahmadiyya is high. More importantly, they feel accepted in these interactions</w:t>
      </w:r>
      <w:r w:rsidRPr="006429F1">
        <w:t>. In most cases, perpetrators who have been attacking members of Ahmadiyya or their places of worship are from outside the immediate communities were the Ahmadiyya live.</w:t>
      </w:r>
    </w:p>
    <w:p w14:paraId="56CB82F0" w14:textId="4D070657" w:rsidR="006429F1" w:rsidRPr="006429F1" w:rsidRDefault="006429F1" w:rsidP="006429F1">
      <w:pPr>
        <w:rPr>
          <w:color w:val="000000"/>
        </w:rPr>
      </w:pPr>
      <w:r w:rsidRPr="006429F1">
        <w:t xml:space="preserve">From the findings, we can discern or conclude that while there is no drastic increase in violent incidents over the past </w:t>
      </w:r>
      <w:r w:rsidR="00AE2475">
        <w:t>five years</w:t>
      </w:r>
      <w:r w:rsidRPr="006429F1">
        <w:t xml:space="preserve">, the experiences of the Ahmadiyya reveal they continue to be fretful </w:t>
      </w:r>
      <w:r w:rsidRPr="006429F1">
        <w:rPr>
          <w:color w:val="000000"/>
        </w:rPr>
        <w:t>that their places of worship will be attacked. They consider the Islamic Defenders Front (</w:t>
      </w:r>
      <w:r w:rsidRPr="006429F1">
        <w:rPr>
          <w:i/>
          <w:color w:val="000000"/>
        </w:rPr>
        <w:t xml:space="preserve">Front </w:t>
      </w:r>
      <w:proofErr w:type="spellStart"/>
      <w:r w:rsidRPr="006429F1">
        <w:rPr>
          <w:i/>
          <w:color w:val="000000"/>
        </w:rPr>
        <w:t>Pembela</w:t>
      </w:r>
      <w:proofErr w:type="spellEnd"/>
      <w:r w:rsidRPr="006429F1">
        <w:rPr>
          <w:i/>
          <w:color w:val="000000"/>
        </w:rPr>
        <w:t xml:space="preserve"> Islam, FPI</w:t>
      </w:r>
      <w:r w:rsidRPr="006429F1">
        <w:rPr>
          <w:color w:val="000000"/>
        </w:rPr>
        <w:t xml:space="preserve">) as the main group that promotes intolerance against them, followed by the Indonesian </w:t>
      </w:r>
      <w:proofErr w:type="spellStart"/>
      <w:r w:rsidRPr="006429F1">
        <w:rPr>
          <w:color w:val="000000"/>
        </w:rPr>
        <w:t>Ulema</w:t>
      </w:r>
      <w:proofErr w:type="spellEnd"/>
      <w:r w:rsidRPr="006429F1">
        <w:rPr>
          <w:color w:val="000000"/>
        </w:rPr>
        <w:t xml:space="preserve"> Council (</w:t>
      </w:r>
      <w:proofErr w:type="spellStart"/>
      <w:r w:rsidRPr="006429F1">
        <w:rPr>
          <w:i/>
          <w:color w:val="000000"/>
        </w:rPr>
        <w:t>Majelis</w:t>
      </w:r>
      <w:proofErr w:type="spellEnd"/>
      <w:r w:rsidRPr="006429F1">
        <w:rPr>
          <w:i/>
          <w:color w:val="000000"/>
        </w:rPr>
        <w:t xml:space="preserve"> Ulama Indonesia</w:t>
      </w:r>
      <w:r w:rsidRPr="006429F1">
        <w:rPr>
          <w:color w:val="000000"/>
        </w:rPr>
        <w:t>, MUI).</w:t>
      </w:r>
    </w:p>
    <w:p w14:paraId="586B0927" w14:textId="77777777" w:rsidR="006429F1" w:rsidRPr="006429F1" w:rsidRDefault="006429F1" w:rsidP="006429F1">
      <w:pPr>
        <w:rPr>
          <w:color w:val="000000"/>
        </w:rPr>
      </w:pPr>
      <w:r w:rsidRPr="006429F1">
        <w:rPr>
          <w:color w:val="000000"/>
        </w:rPr>
        <w:t xml:space="preserve">In protecting and securing the lives and rights of Ahmadiyya, roles are defined for the local and </w:t>
      </w:r>
      <w:r w:rsidRPr="006429F1">
        <w:rPr>
          <w:color w:val="000000"/>
        </w:rPr>
        <w:lastRenderedPageBreak/>
        <w:t xml:space="preserve">national government, law enforcement agencies, NGOs, but also the Ahmadiyya themselves. If the responsibilities of each party is taken on by each of these institutions and individuals, the experiences and perceptions of the Ahmadis will be influenced positively. </w:t>
      </w:r>
    </w:p>
    <w:p w14:paraId="68155B31" w14:textId="19307137" w:rsidR="00304ABE" w:rsidRDefault="00304ABE" w:rsidP="00304ABE">
      <w:pPr>
        <w:pStyle w:val="Heading2"/>
      </w:pPr>
      <w:bookmarkStart w:id="2" w:name="_Toc477294855"/>
      <w:r>
        <w:t>Recommendations</w:t>
      </w:r>
      <w:bookmarkEnd w:id="2"/>
    </w:p>
    <w:p w14:paraId="572D8216" w14:textId="3864FB1F" w:rsidR="00304ABE" w:rsidRDefault="00687503" w:rsidP="0015165C">
      <w:r>
        <w:t xml:space="preserve">Based </w:t>
      </w:r>
      <w:r w:rsidR="00CE2506">
        <w:t xml:space="preserve">on </w:t>
      </w:r>
      <w:r>
        <w:t xml:space="preserve">discussions and the sharing of findings, a number of recommendations have been </w:t>
      </w:r>
      <w:r w:rsidR="00CE2506">
        <w:t>jointly developed. The key recommendations are:</w:t>
      </w:r>
    </w:p>
    <w:p w14:paraId="5B3BBACE" w14:textId="319DA574" w:rsidR="00304ABE" w:rsidRDefault="00304ABE" w:rsidP="00304ABE">
      <w:pPr>
        <w:pStyle w:val="Heading4"/>
      </w:pPr>
      <w:r>
        <w:t>Recommendation</w:t>
      </w:r>
      <w:r w:rsidRPr="00276959">
        <w:t xml:space="preserve">: </w:t>
      </w:r>
      <w:r>
        <w:t>Monitor for discriminatory local regulations and national laws</w:t>
      </w:r>
    </w:p>
    <w:p w14:paraId="1D7A5D42" w14:textId="69359835" w:rsidR="00304ABE" w:rsidRDefault="00304ABE" w:rsidP="00304ABE">
      <w:pPr>
        <w:rPr>
          <w:lang w:val="en-GB"/>
        </w:rPr>
      </w:pPr>
      <w:r w:rsidRPr="009963C5">
        <w:rPr>
          <w:lang w:val="en-GB"/>
        </w:rPr>
        <w:t>In order to ensure the protection of Ahmadis and other religious minorities, NGOs and the central government should critically monitor new or revised local regulations for discr</w:t>
      </w:r>
      <w:r>
        <w:rPr>
          <w:lang w:val="en-GB"/>
        </w:rPr>
        <w:t>iminatory or intolerant clauses</w:t>
      </w:r>
      <w:r w:rsidRPr="009963C5">
        <w:rPr>
          <w:lang w:val="en-GB"/>
        </w:rPr>
        <w:t>.</w:t>
      </w:r>
      <w:r>
        <w:rPr>
          <w:lang w:val="en-GB"/>
        </w:rPr>
        <w:t xml:space="preserve"> </w:t>
      </w:r>
    </w:p>
    <w:p w14:paraId="50B859A6" w14:textId="0785D589" w:rsidR="00304ABE" w:rsidRPr="00276959" w:rsidRDefault="00304ABE" w:rsidP="00304ABE">
      <w:pPr>
        <w:pStyle w:val="Heading4"/>
      </w:pPr>
      <w:r>
        <w:t>Recommendation: Develop new strategies to advocate tolerance and the rights of Ahmadiyya</w:t>
      </w:r>
    </w:p>
    <w:p w14:paraId="4F340950" w14:textId="3D5003DA" w:rsidR="00304ABE" w:rsidRPr="00276959" w:rsidRDefault="00304ABE" w:rsidP="00304ABE">
      <w:pPr>
        <w:rPr>
          <w:color w:val="000000"/>
        </w:rPr>
      </w:pPr>
      <w:r w:rsidRPr="005A33EB">
        <w:t xml:space="preserve">The research informs that Ahmadiyya interact with non-Ahmadiyya at their work and their homes, but also in social settings. NGOs promoting harmony and inter-group relations should develop strategies that promote harmony in the work place </w:t>
      </w:r>
      <w:r>
        <w:t xml:space="preserve">or in other safe public places. </w:t>
      </w:r>
      <w:r>
        <w:rPr>
          <w:color w:val="000000"/>
        </w:rPr>
        <w:t>I</w:t>
      </w:r>
      <w:r w:rsidRPr="005A33EB">
        <w:rPr>
          <w:color w:val="000000"/>
        </w:rPr>
        <w:t>n supporting the Ahmadiyya obtaining full and equal access to public services, alternative lobby and advocacy efforts may be required</w:t>
      </w:r>
      <w:r w:rsidR="00AE2475">
        <w:rPr>
          <w:color w:val="000000"/>
        </w:rPr>
        <w:t>.</w:t>
      </w:r>
    </w:p>
    <w:p w14:paraId="1A5631B5" w14:textId="6383D336" w:rsidR="00304ABE" w:rsidRPr="00276959" w:rsidRDefault="00304ABE" w:rsidP="00304ABE">
      <w:pPr>
        <w:pStyle w:val="Heading4"/>
      </w:pPr>
      <w:r>
        <w:t>Recommendation</w:t>
      </w:r>
      <w:r w:rsidRPr="00276959">
        <w:t>: Modify t</w:t>
      </w:r>
      <w:r>
        <w:t>he approach of law enforcement</w:t>
      </w:r>
    </w:p>
    <w:p w14:paraId="77BDB8F4" w14:textId="5AC81E5F" w:rsidR="00304ABE" w:rsidRPr="007A3E9F" w:rsidRDefault="00304ABE" w:rsidP="00304ABE">
      <w:pPr>
        <w:rPr>
          <w:color w:val="000000"/>
        </w:rPr>
      </w:pPr>
      <w:r w:rsidRPr="007A3E9F">
        <w:t>The government should change the focus of the law enforcement from limiting the freedom of the Ahmadiyya community to the persecution of the perpetrators after an incident has occurred.</w:t>
      </w:r>
      <w:r w:rsidRPr="007A3E9F">
        <w:rPr>
          <w:color w:val="000000"/>
        </w:rPr>
        <w:t xml:space="preserve"> </w:t>
      </w:r>
    </w:p>
    <w:p w14:paraId="446D5E6E" w14:textId="0C481D86" w:rsidR="00304ABE" w:rsidRPr="00276959" w:rsidRDefault="00304ABE" w:rsidP="00304ABE">
      <w:pPr>
        <w:pStyle w:val="Heading4"/>
      </w:pPr>
      <w:r>
        <w:t>Recommendation: Promote local leadership and entry into the political sphere</w:t>
      </w:r>
    </w:p>
    <w:p w14:paraId="32CC6A1E" w14:textId="5410A20E" w:rsidR="00304ABE" w:rsidRPr="007A3E9F" w:rsidRDefault="00304ABE" w:rsidP="00304ABE">
      <w:pPr>
        <w:rPr>
          <w:color w:val="000000"/>
        </w:rPr>
      </w:pPr>
      <w:r w:rsidRPr="007A3E9F">
        <w:rPr>
          <w:color w:val="000000"/>
        </w:rPr>
        <w:t>The Ahmadiyya and other religious minority groups should be represented in the government and law enforcement agencies</w:t>
      </w:r>
      <w:r>
        <w:rPr>
          <w:color w:val="000000"/>
        </w:rPr>
        <w:t>.</w:t>
      </w:r>
    </w:p>
    <w:p w14:paraId="670FD7AA" w14:textId="5113ADD9" w:rsidR="00304ABE" w:rsidRPr="00276959" w:rsidRDefault="00304ABE" w:rsidP="00304ABE">
      <w:pPr>
        <w:pStyle w:val="Heading4"/>
      </w:pPr>
      <w:r>
        <w:t>Recommendation: Organize</w:t>
      </w:r>
      <w:r w:rsidRPr="00276959">
        <w:t xml:space="preserve"> training</w:t>
      </w:r>
      <w:r>
        <w:t>s</w:t>
      </w:r>
      <w:r w:rsidRPr="00276959">
        <w:t xml:space="preserve"> for Ahmadis and paraleg</w:t>
      </w:r>
      <w:r>
        <w:t>als to record individual cases</w:t>
      </w:r>
    </w:p>
    <w:p w14:paraId="65D17BA2" w14:textId="55B17E55" w:rsidR="00304ABE" w:rsidRPr="00643DC0" w:rsidRDefault="00304ABE" w:rsidP="00304ABE">
      <w:pPr>
        <w:rPr>
          <w:color w:val="000000"/>
        </w:rPr>
      </w:pPr>
      <w:r>
        <w:t xml:space="preserve">NGOs should organize </w:t>
      </w:r>
      <w:r w:rsidRPr="00276959">
        <w:t>training</w:t>
      </w:r>
      <w:r>
        <w:t>s</w:t>
      </w:r>
      <w:r w:rsidRPr="00276959">
        <w:t xml:space="preserve"> for Ahmadiyya members and paralegals in order to enhance the knowledge on the legal procedures involved in filing a case.</w:t>
      </w:r>
      <w:r>
        <w:t xml:space="preserve"> </w:t>
      </w:r>
    </w:p>
    <w:p w14:paraId="7CC18ACF" w14:textId="206967F9" w:rsidR="00304ABE" w:rsidRDefault="00133FC5" w:rsidP="00304ABE">
      <w:pPr>
        <w:pStyle w:val="Heading4"/>
      </w:pPr>
      <w:r>
        <w:t>Recommendation</w:t>
      </w:r>
      <w:r w:rsidR="00304ABE" w:rsidRPr="00276959">
        <w:t xml:space="preserve">: </w:t>
      </w:r>
      <w:r w:rsidR="00304ABE">
        <w:t>Campaigning tolerance and pluralism in society</w:t>
      </w:r>
    </w:p>
    <w:p w14:paraId="7DA82FCA" w14:textId="64D17500" w:rsidR="00304ABE" w:rsidRPr="006266CF" w:rsidRDefault="00304ABE" w:rsidP="0015165C">
      <w:pPr>
        <w:sectPr w:rsidR="00304ABE" w:rsidRPr="006266CF" w:rsidSect="00BA7C87">
          <w:headerReference w:type="default" r:id="rId17"/>
          <w:footerReference w:type="default" r:id="rId18"/>
          <w:pgSz w:w="11907" w:h="16839" w:code="9"/>
          <w:pgMar w:top="2126" w:right="1134" w:bottom="992" w:left="1134" w:header="567" w:footer="567" w:gutter="0"/>
          <w:pgNumType w:fmt="lowerRoman" w:start="1"/>
          <w:cols w:space="720"/>
          <w:docGrid w:linePitch="360"/>
        </w:sectPr>
      </w:pPr>
      <w:r w:rsidRPr="007A3E9F">
        <w:t xml:space="preserve">NGOs should implement activities that aim to spread tolerance and pluralistic messaging, targeting specific groups that show signs of intolerance. </w:t>
      </w:r>
    </w:p>
    <w:p w14:paraId="5E3E4CEA" w14:textId="77777777" w:rsidR="00CB697F" w:rsidRDefault="00765994" w:rsidP="00B46187">
      <w:pPr>
        <w:pStyle w:val="Heading1"/>
      </w:pPr>
      <w:bookmarkStart w:id="3" w:name="_Toc477294856"/>
      <w:r>
        <w:lastRenderedPageBreak/>
        <w:t>Introduction</w:t>
      </w:r>
      <w:bookmarkEnd w:id="3"/>
    </w:p>
    <w:p w14:paraId="2BB94699" w14:textId="0A5E65EB" w:rsidR="00527647" w:rsidRPr="00527647" w:rsidRDefault="00527647" w:rsidP="00527647">
      <w:r w:rsidRPr="00527647">
        <w:t xml:space="preserve">Although six religions are officially recognized in Indonesia, there are hundreds of religions and beliefs in across the country. Some of these are local or mystical beliefs, but there are also other religious groups like </w:t>
      </w:r>
      <w:proofErr w:type="spellStart"/>
      <w:r w:rsidRPr="00527647">
        <w:t>Gafatar</w:t>
      </w:r>
      <w:proofErr w:type="spellEnd"/>
      <w:r w:rsidRPr="00527647">
        <w:t xml:space="preserve">, Shia and Ahmadiyya Muslims. Intolerance towards these minority groups is on the rise. </w:t>
      </w:r>
    </w:p>
    <w:p w14:paraId="65265B12" w14:textId="17C6D469" w:rsidR="00527647" w:rsidRPr="00527647" w:rsidRDefault="00527647" w:rsidP="00527647">
      <w:r w:rsidRPr="00527647">
        <w:t xml:space="preserve">According to research by </w:t>
      </w:r>
      <w:proofErr w:type="spellStart"/>
      <w:r w:rsidRPr="00527647">
        <w:t>Setara</w:t>
      </w:r>
      <w:proofErr w:type="spellEnd"/>
      <w:r w:rsidRPr="00527647">
        <w:t xml:space="preserve"> Institute, in 2016 there were</w:t>
      </w:r>
      <w:r w:rsidR="006B5939">
        <w:t xml:space="preserve"> 208 incidents or events where </w:t>
      </w:r>
      <w:r w:rsidRPr="00527647">
        <w:t>violations towards freedom of religion or belief with 270 violent</w:t>
      </w:r>
      <w:r>
        <w:t xml:space="preserve"> </w:t>
      </w:r>
      <w:r w:rsidRPr="00527647">
        <w:t>actions.</w:t>
      </w:r>
      <w:r w:rsidRPr="00527647">
        <w:rPr>
          <w:sz w:val="18"/>
          <w:vertAlign w:val="superscript"/>
        </w:rPr>
        <w:footnoteReference w:id="1"/>
      </w:r>
      <w:r w:rsidRPr="00527647">
        <w:t xml:space="preserve"> Compared to the previous year, that is an increase of 12 incidents and 28 actions.</w:t>
      </w:r>
      <w:r w:rsidRPr="00527647">
        <w:rPr>
          <w:sz w:val="18"/>
          <w:vertAlign w:val="superscript"/>
        </w:rPr>
        <w:footnoteReference w:id="2"/>
      </w:r>
      <w:r w:rsidRPr="00527647">
        <w:t xml:space="preserve"> According to the research, an incident describes the occurrence of discrimination or persecution, while an action describes the nature of the discrimination. This explains why one event, can involve multiple actions, for example both blasphemy and intimidation.</w:t>
      </w:r>
    </w:p>
    <w:p w14:paraId="0B80A98B" w14:textId="77777777" w:rsidR="00527647" w:rsidRPr="00527647" w:rsidRDefault="00527647" w:rsidP="00527647">
      <w:r w:rsidRPr="00527647">
        <w:t>Additional research conducted by the United States Commission on International Religious Freedom in 2016, found that incidents of discrimination against religious minorities and attacks on religious properties continue to occur in Indonesia. These attacks and discriminatory actions are typically isolated incidents localized in certain provinces.</w:t>
      </w:r>
      <w:r w:rsidRPr="00527647">
        <w:rPr>
          <w:sz w:val="18"/>
          <w:vertAlign w:val="superscript"/>
        </w:rPr>
        <w:footnoteReference w:id="3"/>
      </w:r>
    </w:p>
    <w:p w14:paraId="61F4F177" w14:textId="7B445287" w:rsidR="00527647" w:rsidRPr="00527647" w:rsidRDefault="00527647" w:rsidP="00527647">
      <w:r w:rsidRPr="00527647">
        <w:t>This research focusses on the experiences of the Ahmadiyya community in Indonesia.  Just like other religious minority groups, the Ahmadis face discrimination, violence and exclusion. Although the Ahmadiyya community have lived in relative peace for most of the time, in the last two decades after the fall of the Suharto regime, they are increasingly under threat of attack by radical Islamic groups. Also, conservative Islamic groups are influencing national and local politics to implement further legal restrictions on Ahmadis.</w:t>
      </w:r>
    </w:p>
    <w:p w14:paraId="0CE0565F" w14:textId="77777777" w:rsidR="00527647" w:rsidRPr="00527647" w:rsidRDefault="00527647" w:rsidP="00527647">
      <w:r w:rsidRPr="00527647">
        <w:t>This research was conducted across five areas to further understand the security situation for Ahmadiyya communities and how well they are protected. The research fills a large gap in existing evidence and quantitative data on the sources of discrimination, violence and exclusion experienced by Ahmadis in Indonesia, as well as the responses and the resilience of those communities that are negatively affected. Specific questions of this research answers are:</w:t>
      </w:r>
    </w:p>
    <w:p w14:paraId="7B76B568" w14:textId="77777777" w:rsidR="00E24A70" w:rsidRDefault="00E24A70" w:rsidP="00250E9F">
      <w:pPr>
        <w:widowControl/>
        <w:autoSpaceDE/>
        <w:autoSpaceDN/>
        <w:adjustRightInd/>
        <w:spacing w:after="0" w:line="240" w:lineRule="auto"/>
        <w:jc w:val="left"/>
      </w:pPr>
    </w:p>
    <w:p w14:paraId="6F6CD763" w14:textId="77777777" w:rsidR="00250E9F" w:rsidRPr="00250E9F" w:rsidRDefault="0057327E" w:rsidP="00250E9F">
      <w:pPr>
        <w:pStyle w:val="ListBullet"/>
        <w:rPr>
          <w:rFonts w:ascii="Times New Roman" w:eastAsiaTheme="minorHAnsi" w:hAnsi="Times New Roman"/>
          <w:color w:val="auto"/>
          <w:sz w:val="24"/>
          <w:szCs w:val="24"/>
        </w:rPr>
      </w:pPr>
      <w:r>
        <w:t>Who are the main</w:t>
      </w:r>
      <w:r w:rsidR="00486CF8">
        <w:t xml:space="preserve"> perpetrator</w:t>
      </w:r>
      <w:r w:rsidR="00C12F49">
        <w:t>s of violence, exclusion and discrimination</w:t>
      </w:r>
      <w:r w:rsidR="00486CF8">
        <w:t xml:space="preserve"> against the Ahmadiyya? </w:t>
      </w:r>
    </w:p>
    <w:p w14:paraId="0DCBCBF7" w14:textId="77777777" w:rsidR="00250E9F" w:rsidRPr="00250E9F" w:rsidRDefault="00486CF8" w:rsidP="00250E9F">
      <w:pPr>
        <w:pStyle w:val="ListBullet"/>
        <w:rPr>
          <w:rFonts w:ascii="Times New Roman" w:eastAsiaTheme="minorHAnsi" w:hAnsi="Times New Roman"/>
          <w:color w:val="auto"/>
          <w:sz w:val="24"/>
          <w:szCs w:val="24"/>
        </w:rPr>
      </w:pPr>
      <w:r>
        <w:lastRenderedPageBreak/>
        <w:t xml:space="preserve">What is the </w:t>
      </w:r>
      <w:r w:rsidR="0057327E">
        <w:t>role of politics in the situation</w:t>
      </w:r>
      <w:r>
        <w:t xml:space="preserve"> </w:t>
      </w:r>
      <w:r w:rsidR="00C12F49">
        <w:t>of those same issues perpetrated</w:t>
      </w:r>
      <w:r w:rsidR="00431119">
        <w:t xml:space="preserve"> </w:t>
      </w:r>
      <w:r w:rsidR="00C12F49">
        <w:t>against</w:t>
      </w:r>
      <w:r>
        <w:t xml:space="preserve"> Ahmadiyya? </w:t>
      </w:r>
    </w:p>
    <w:p w14:paraId="13940BFC" w14:textId="77777777" w:rsidR="00250E9F" w:rsidRPr="00250E9F" w:rsidRDefault="00486CF8" w:rsidP="00250E9F">
      <w:pPr>
        <w:pStyle w:val="ListBullet"/>
        <w:rPr>
          <w:rFonts w:ascii="Times New Roman" w:eastAsiaTheme="minorHAnsi" w:hAnsi="Times New Roman"/>
          <w:color w:val="auto"/>
          <w:sz w:val="24"/>
          <w:szCs w:val="24"/>
        </w:rPr>
      </w:pPr>
      <w:r>
        <w:t xml:space="preserve">What are the main justice and security concerns and protection mechanism used by the Ahmadiyya? </w:t>
      </w:r>
    </w:p>
    <w:p w14:paraId="3FF7A1A0" w14:textId="7FA678E9" w:rsidR="00250E9F" w:rsidRPr="00250E9F" w:rsidRDefault="00486CF8" w:rsidP="00250E9F">
      <w:pPr>
        <w:pStyle w:val="ListBullet"/>
        <w:rPr>
          <w:rFonts w:ascii="Times New Roman" w:eastAsiaTheme="minorHAnsi" w:hAnsi="Times New Roman"/>
          <w:color w:val="auto"/>
          <w:sz w:val="24"/>
          <w:szCs w:val="24"/>
        </w:rPr>
      </w:pPr>
      <w:r>
        <w:t xml:space="preserve">What are the government responses on </w:t>
      </w:r>
      <w:r w:rsidR="00C12F49">
        <w:t>local and national level to incidents against Ahmadiyya</w:t>
      </w:r>
      <w:r w:rsidR="00250E9F">
        <w:t xml:space="preserve">? </w:t>
      </w:r>
    </w:p>
    <w:p w14:paraId="30F71788" w14:textId="76C467EF" w:rsidR="00250E9F" w:rsidRPr="00250E9F" w:rsidRDefault="00250E9F" w:rsidP="00250E9F">
      <w:pPr>
        <w:pStyle w:val="ListBullet"/>
        <w:rPr>
          <w:rFonts w:ascii="Times New Roman" w:eastAsiaTheme="minorHAnsi" w:hAnsi="Times New Roman"/>
          <w:color w:val="auto"/>
          <w:sz w:val="24"/>
          <w:szCs w:val="24"/>
        </w:rPr>
      </w:pPr>
      <w:r>
        <w:t>A</w:t>
      </w:r>
      <w:r w:rsidR="00486CF8">
        <w:t>re there any best practices for securing the situation of Ahmadiyya communities, either within the communities themselves or between communities?</w:t>
      </w:r>
    </w:p>
    <w:p w14:paraId="6766B5C2" w14:textId="77777777" w:rsidR="006B5939" w:rsidRDefault="006B5939" w:rsidP="006B5939">
      <w:r>
        <w:t>This report gives unique insights into the protection and security measures of the Ahmadiyya in Indonesia and how prevalent discrimination, exclusion and violence is in the target areas. The innovative approach to gather quantitative data on the perception of the Ahmadiyya community is a good addition to experts’ analysis on this matter.</w:t>
      </w:r>
    </w:p>
    <w:p w14:paraId="6A57B3C2" w14:textId="77777777" w:rsidR="006B5939" w:rsidRDefault="006B5939" w:rsidP="006B5939">
      <w:r>
        <w:t xml:space="preserve">Our findings suggest a positive attitude of Ahmadis towards the future. Although last year has seen an increase in violent incidents towards Ahmadis, the general trend of violent incidents in the last five years has been decreasing. </w:t>
      </w:r>
    </w:p>
    <w:p w14:paraId="673826CA" w14:textId="419802FA" w:rsidR="006B5939" w:rsidRDefault="006B5939" w:rsidP="006B5939">
      <w:r>
        <w:t>Despite the positive attitude, our findings also suggest that Ahmadis think that still much need to be done to reduce the number of discriminative and violent incidents, as well as social exclusion from local and national government, law enforcement agencies and Hard-line Muslim groups.</w:t>
      </w:r>
    </w:p>
    <w:p w14:paraId="3B8F141F" w14:textId="07470110" w:rsidR="00765994" w:rsidRDefault="00527647" w:rsidP="00765994">
      <w:r w:rsidRPr="00527647">
        <w:t xml:space="preserve">Farsight coordinated this research in five target areas in the province of Java with two data collection and implementation partners: </w:t>
      </w:r>
      <w:proofErr w:type="spellStart"/>
      <w:r w:rsidRPr="00527647">
        <w:t>Setara</w:t>
      </w:r>
      <w:proofErr w:type="spellEnd"/>
      <w:r w:rsidRPr="00527647">
        <w:t xml:space="preserve"> Institute based in Jakarta and </w:t>
      </w:r>
      <w:proofErr w:type="spellStart"/>
      <w:r w:rsidRPr="00527647">
        <w:t>Fahmina</w:t>
      </w:r>
      <w:proofErr w:type="spellEnd"/>
      <w:r w:rsidRPr="00527647">
        <w:t xml:space="preserve"> Institute in Cirebon. The methodology was developed in partnership wi</w:t>
      </w:r>
      <w:r>
        <w:t xml:space="preserve">th </w:t>
      </w:r>
      <w:proofErr w:type="spellStart"/>
      <w:r>
        <w:t>Setara</w:t>
      </w:r>
      <w:proofErr w:type="spellEnd"/>
      <w:r>
        <w:t xml:space="preserve"> and </w:t>
      </w:r>
      <w:proofErr w:type="spellStart"/>
      <w:r>
        <w:t>Fahmina</w:t>
      </w:r>
      <w:proofErr w:type="spellEnd"/>
      <w:r>
        <w:t xml:space="preserve"> Institute</w:t>
      </w:r>
      <w:r w:rsidRPr="00527647">
        <w:t>, who coordinated data collection</w:t>
      </w:r>
      <w:r>
        <w:t xml:space="preserve"> in the field over a period of 2,5 months</w:t>
      </w:r>
      <w:r w:rsidRPr="00527647">
        <w:t xml:space="preserve"> in 2016. The results of the study were analyzed collaboratively and a number of smaller outreach events took place to share the findings.</w:t>
      </w:r>
    </w:p>
    <w:p w14:paraId="7B03B04A" w14:textId="3A183EBB" w:rsidR="00765994" w:rsidRDefault="00765994" w:rsidP="00765994"/>
    <w:p w14:paraId="4F2B6074" w14:textId="77777777" w:rsidR="006B5939" w:rsidRDefault="006B5939" w:rsidP="00765994"/>
    <w:p w14:paraId="578F0E94" w14:textId="77777777" w:rsidR="00765994" w:rsidRDefault="00765994" w:rsidP="00765994"/>
    <w:p w14:paraId="262F1BCF" w14:textId="77777777" w:rsidR="00631854" w:rsidRDefault="00631854" w:rsidP="00765994"/>
    <w:p w14:paraId="0D5C28E2" w14:textId="7E8B1DC3" w:rsidR="00C50B95" w:rsidRPr="00C50B95" w:rsidRDefault="00C50B95" w:rsidP="00C50B95"/>
    <w:p w14:paraId="2399117D" w14:textId="77777777" w:rsidR="00765994" w:rsidRDefault="00765994" w:rsidP="00765994">
      <w:pPr>
        <w:pStyle w:val="Heading1"/>
      </w:pPr>
      <w:bookmarkStart w:id="4" w:name="_Toc477294857"/>
      <w:r>
        <w:lastRenderedPageBreak/>
        <w:t>Background and Rationale</w:t>
      </w:r>
      <w:bookmarkEnd w:id="4"/>
    </w:p>
    <w:p w14:paraId="0D4B3047" w14:textId="77777777" w:rsidR="00527647" w:rsidRPr="00527647" w:rsidRDefault="00527647" w:rsidP="00527647">
      <w:r w:rsidRPr="00527647">
        <w:t xml:space="preserve">Indonesia is comprised of thousands of ethnic groups, many with their own language and customs. National unity has become a priority under the government of president Joko Widodo (popularly known as Jokowi). The feeling of belonging to Indonesia and protecting the right of religious minorities has gained more attention since the new cabinet started in October 2014. </w:t>
      </w:r>
    </w:p>
    <w:p w14:paraId="1887D908" w14:textId="77777777" w:rsidR="00527647" w:rsidRPr="00527647" w:rsidRDefault="00527647" w:rsidP="00527647">
      <w:r w:rsidRPr="00527647">
        <w:t>Despite the majority of the population identifying as Muslim, Indonesia is not a Muslim Nation. The ideology of the country is not Islam, but Pancasila or the Five Principles contained within the country’s constitution. The first principle of Pancasila is “</w:t>
      </w:r>
      <w:proofErr w:type="spellStart"/>
      <w:r w:rsidRPr="00527647">
        <w:t>Ketuhanan</w:t>
      </w:r>
      <w:proofErr w:type="spellEnd"/>
      <w:r w:rsidRPr="00527647">
        <w:t xml:space="preserve"> Yang </w:t>
      </w:r>
      <w:proofErr w:type="spellStart"/>
      <w:r w:rsidRPr="00527647">
        <w:t>Maha</w:t>
      </w:r>
      <w:proofErr w:type="spellEnd"/>
      <w:r w:rsidRPr="00527647">
        <w:t xml:space="preserve"> </w:t>
      </w:r>
      <w:proofErr w:type="spellStart"/>
      <w:r w:rsidRPr="00527647">
        <w:t>Esa</w:t>
      </w:r>
      <w:proofErr w:type="spellEnd"/>
      <w:r w:rsidRPr="00527647">
        <w:t xml:space="preserve">” (belief in one supreme God). The Indonesian constitution is therefore not based on Sharia, neither is it a secular or a theocratic state. </w:t>
      </w:r>
    </w:p>
    <w:p w14:paraId="2E9DB517" w14:textId="77777777" w:rsidR="00527647" w:rsidRPr="00527647" w:rsidRDefault="00527647" w:rsidP="00527647">
      <w:r w:rsidRPr="00527647">
        <w:t>The Government of Indonesia recognizes six official religions (Islam, Protestantism, Catholicism, Hinduism, Buddhism and Confucianism). In 2016, the total population of Indonesia is around 260 million with Muslims being the majority of the Indonesian populace (87.2%) followed by protestants 7%, Catholics 2.9%, Hindus 1.7%, other 0.9% (includes Buddhists and Confucians), unspecified 0.4%.</w:t>
      </w:r>
      <w:r w:rsidRPr="00527647">
        <w:rPr>
          <w:sz w:val="18"/>
          <w:vertAlign w:val="superscript"/>
        </w:rPr>
        <w:footnoteReference w:id="4"/>
      </w:r>
    </w:p>
    <w:p w14:paraId="3A240C90" w14:textId="77777777" w:rsidR="00E24A70" w:rsidRDefault="00E24A70" w:rsidP="00E24A70">
      <w:r>
        <w:t>In Indonesia, the Ahmadiyya religion is not recognized as an official religion. Although they perceive themselves as Muslims, they are not accepted by the majority of Sunni Muslims in Indonesia. They have maintained a presence in Indonesia for over 80 years and the population is spread across the Archipelago. The exact number of the Ahmadiyya population is unknown and different figures are given by several institutes, although the consensus is that there are 300.000 followers.</w:t>
      </w:r>
    </w:p>
    <w:p w14:paraId="57B1B704" w14:textId="552C07D4" w:rsidR="00486CF8" w:rsidRDefault="00486CF8" w:rsidP="00765994">
      <w:r>
        <w:t xml:space="preserve">The main issue that separates Ahmadis from other Muslims is the question of whether there can be other prophets after Muhammad. Ahmadiyya movement is considered against Islamic beliefs especially due to its teaching that its founder, Mirza Ghulam Ahmad is a Prophet, secondly because the </w:t>
      </w:r>
      <w:proofErr w:type="spellStart"/>
      <w:r>
        <w:t>Tadzkirah</w:t>
      </w:r>
      <w:proofErr w:type="spellEnd"/>
      <w:r>
        <w:t xml:space="preserve"> is a holy book next</w:t>
      </w:r>
      <w:r w:rsidR="007B1708">
        <w:t xml:space="preserve"> to the Qur’ān and thirdly, because</w:t>
      </w:r>
      <w:r>
        <w:t xml:space="preserve"> Ahmadiyya has its own holy sites (apart from Muslims’ Mecca and Medina). Many Muslim organizations, therefore, believe that Ahmadis should be forbidden from</w:t>
      </w:r>
      <w:r w:rsidR="005733DF">
        <w:t xml:space="preserve"> to</w:t>
      </w:r>
      <w:r>
        <w:t xml:space="preserve"> </w:t>
      </w:r>
      <w:r w:rsidR="00555AD5">
        <w:t>referring themselves as Muslims</w:t>
      </w:r>
      <w:r w:rsidR="005733DF">
        <w:t>.</w:t>
      </w:r>
    </w:p>
    <w:p w14:paraId="3E1BE43D" w14:textId="0AF7607F" w:rsidR="007637D0" w:rsidRDefault="00DF3B1E" w:rsidP="00765994">
      <w:r w:rsidRPr="00DF3B1E">
        <w:t>In February 2011, three Ahmadi followers were killed and at lea</w:t>
      </w:r>
      <w:r w:rsidR="002128C8">
        <w:t>st five were injured in an</w:t>
      </w:r>
      <w:r w:rsidR="00C36382">
        <w:t xml:space="preserve"> attack on an Ahmadiyya</w:t>
      </w:r>
      <w:r w:rsidRPr="00DF3B1E">
        <w:t xml:space="preserve"> community in the sub</w:t>
      </w:r>
      <w:r w:rsidR="00C36382">
        <w:t>-</w:t>
      </w:r>
      <w:r w:rsidRPr="00DF3B1E">
        <w:t xml:space="preserve">district of </w:t>
      </w:r>
      <w:proofErr w:type="spellStart"/>
      <w:r w:rsidRPr="00DF3B1E">
        <w:t>Cikeusik</w:t>
      </w:r>
      <w:proofErr w:type="spellEnd"/>
      <w:r w:rsidRPr="00DF3B1E">
        <w:t xml:space="preserve"> in the province of </w:t>
      </w:r>
      <w:proofErr w:type="spellStart"/>
      <w:r w:rsidRPr="00DF3B1E">
        <w:t>Banten</w:t>
      </w:r>
      <w:proofErr w:type="spellEnd"/>
      <w:r w:rsidRPr="00DF3B1E">
        <w:t>.</w:t>
      </w:r>
      <w:r w:rsidR="002128C8">
        <w:t xml:space="preserve"> </w:t>
      </w:r>
      <w:r w:rsidR="007637D0">
        <w:t>Since 2007</w:t>
      </w:r>
      <w:r w:rsidR="007637D0">
        <w:rPr>
          <w:rStyle w:val="FootnoteReference"/>
        </w:rPr>
        <w:footnoteReference w:id="5"/>
      </w:r>
      <w:r w:rsidR="007637D0">
        <w:t>, i</w:t>
      </w:r>
      <w:r w:rsidR="002128C8">
        <w:t xml:space="preserve">n the years after the fatwa of MUI </w:t>
      </w:r>
      <w:r w:rsidR="005733DF">
        <w:t>(</w:t>
      </w:r>
      <w:proofErr w:type="spellStart"/>
      <w:r w:rsidR="005733DF">
        <w:t>Majelis</w:t>
      </w:r>
      <w:proofErr w:type="spellEnd"/>
      <w:r w:rsidR="005733DF">
        <w:t xml:space="preserve"> Ulama Indonesia, defining the Ahmadiyya a deviant sect) </w:t>
      </w:r>
      <w:r w:rsidR="002128C8">
        <w:t>and the</w:t>
      </w:r>
      <w:r w:rsidR="0015049B">
        <w:t xml:space="preserve"> 2008 Joint Ministerial Decree (</w:t>
      </w:r>
      <w:r w:rsidR="002128C8">
        <w:t xml:space="preserve">banning public worship for the </w:t>
      </w:r>
      <w:r w:rsidR="007B1708">
        <w:t>Ahmadiyya</w:t>
      </w:r>
      <w:r w:rsidR="0099037E">
        <w:t xml:space="preserve">) </w:t>
      </w:r>
      <w:r w:rsidR="0099037E">
        <w:lastRenderedPageBreak/>
        <w:t>a total of 546</w:t>
      </w:r>
      <w:r w:rsidR="002128C8">
        <w:t xml:space="preserve"> violent incidents have occurred. </w:t>
      </w:r>
      <w:r w:rsidR="007637D0">
        <w:t xml:space="preserve">The violent attacks and discussions on deviant groups </w:t>
      </w:r>
      <w:r w:rsidR="007637D0" w:rsidRPr="00DF3B1E">
        <w:t>also led to the enactment of measures by provincial and district governmen</w:t>
      </w:r>
      <w:r w:rsidR="007637D0">
        <w:t>ts to further restrict Ahmadiyya</w:t>
      </w:r>
      <w:r w:rsidR="007637D0" w:rsidRPr="00DF3B1E">
        <w:t xml:space="preserve"> </w:t>
      </w:r>
      <w:r w:rsidR="007637D0">
        <w:t xml:space="preserve">activity. </w:t>
      </w:r>
      <w:r w:rsidR="007637D0" w:rsidRPr="007637D0">
        <w:t>More recent years (2014-2015) have seen a positive trend in reduced number of incidents</w:t>
      </w:r>
      <w:r w:rsidR="007637D0">
        <w:t xml:space="preserve">, </w:t>
      </w:r>
      <w:r w:rsidR="007637D0" w:rsidRPr="007637D0">
        <w:t>but the situation of Ahmadis in Indonesia remains an ongoing issue of concern. Decrees, religious proclamations and laws</w:t>
      </w:r>
      <w:r w:rsidR="005733DF">
        <w:t xml:space="preserve"> remain issues for discussion. Even m</w:t>
      </w:r>
      <w:r w:rsidR="007637D0" w:rsidRPr="007637D0">
        <w:t xml:space="preserve">ore recently in 2016, discussions around religion and minorities centered around the blasphemy case against the Governor of Jakarta, </w:t>
      </w:r>
      <w:proofErr w:type="spellStart"/>
      <w:r w:rsidR="007637D0">
        <w:t>Basuki</w:t>
      </w:r>
      <w:proofErr w:type="spellEnd"/>
      <w:r w:rsidR="007637D0">
        <w:t xml:space="preserve"> Tjahaja </w:t>
      </w:r>
      <w:proofErr w:type="spellStart"/>
      <w:r w:rsidR="007637D0">
        <w:t>Purnama</w:t>
      </w:r>
      <w:proofErr w:type="spellEnd"/>
      <w:r w:rsidR="007637D0">
        <w:t xml:space="preserve"> (</w:t>
      </w:r>
      <w:proofErr w:type="spellStart"/>
      <w:r w:rsidR="007637D0" w:rsidRPr="007637D0">
        <w:t>Ahok</w:t>
      </w:r>
      <w:proofErr w:type="spellEnd"/>
      <w:r w:rsidR="007637D0">
        <w:t>)</w:t>
      </w:r>
      <w:r w:rsidR="007637D0" w:rsidRPr="007637D0">
        <w:t xml:space="preserve">. </w:t>
      </w:r>
    </w:p>
    <w:p w14:paraId="10355E40" w14:textId="77777777" w:rsidR="00AD69C8" w:rsidRPr="00AD69C8" w:rsidRDefault="00AD69C8" w:rsidP="00AD69C8">
      <w:r w:rsidRPr="00AD69C8">
        <w:t xml:space="preserve">Some of the incidents against religious minorities are more newsworthy than others. In national media, not every story gets equal attention. Even in local media, not all the incidents are reported for various reasons. It can be difficult for reporters to go to very remote areas where incidents happen. In some cases, the incidents are not big enough to get attention. </w:t>
      </w:r>
    </w:p>
    <w:p w14:paraId="6A6D8268" w14:textId="41EDBB81" w:rsidR="00AD69C8" w:rsidRPr="00AD69C8" w:rsidRDefault="00462C0B" w:rsidP="00AD69C8">
      <w:r>
        <w:t xml:space="preserve">Research organizations </w:t>
      </w:r>
      <w:r w:rsidR="00AD69C8" w:rsidRPr="00AD69C8">
        <w:t xml:space="preserve">like </w:t>
      </w:r>
      <w:proofErr w:type="spellStart"/>
      <w:r w:rsidR="00AD69C8" w:rsidRPr="00AD69C8">
        <w:t>Setara</w:t>
      </w:r>
      <w:proofErr w:type="spellEnd"/>
      <w:r>
        <w:t xml:space="preserve"> Institute</w:t>
      </w:r>
      <w:r w:rsidR="00AD69C8" w:rsidRPr="00AD69C8">
        <w:t xml:space="preserve"> </w:t>
      </w:r>
      <w:r w:rsidR="00AD69C8">
        <w:t>collect data</w:t>
      </w:r>
      <w:r w:rsidR="00AD69C8" w:rsidRPr="00AD69C8">
        <w:t xml:space="preserve"> on incidents </w:t>
      </w:r>
      <w:r w:rsidR="00A818B0">
        <w:t xml:space="preserve">of intolerance </w:t>
      </w:r>
      <w:r w:rsidR="00AD69C8" w:rsidRPr="00AD69C8">
        <w:t xml:space="preserve">experienced by religious minorities by working together with researchers in districts and grassroots organizations across the country. Every year, </w:t>
      </w:r>
      <w:proofErr w:type="spellStart"/>
      <w:r w:rsidR="00AD69C8" w:rsidRPr="00AD69C8">
        <w:t>Setara</w:t>
      </w:r>
      <w:proofErr w:type="spellEnd"/>
      <w:r w:rsidR="00AD69C8" w:rsidRPr="00AD69C8">
        <w:t xml:space="preserve"> Institute publishes a list </w:t>
      </w:r>
      <w:r w:rsidR="00AD69C8">
        <w:t>with</w:t>
      </w:r>
      <w:r w:rsidR="00AD69C8" w:rsidRPr="00AD69C8">
        <w:t xml:space="preserve"> incidents of religious intolerance towards different religious minority groups. These numbers are of great importance to get a sense of prevalence of the issue.</w:t>
      </w:r>
    </w:p>
    <w:p w14:paraId="12B16E9A" w14:textId="35C2E971" w:rsidR="008C6FB4" w:rsidRDefault="008C6FB4" w:rsidP="00765994">
      <w:r>
        <w:t>Recent research on the Ahmadiyya issue take the approach of focusing on the rule of law in Indonesia, in the context of inconsistent and conflicting laws i</w:t>
      </w:r>
      <w:r w:rsidR="00AD4413">
        <w:t>n protecting religious freedom</w:t>
      </w:r>
      <w:r>
        <w:t>.</w:t>
      </w:r>
      <w:r>
        <w:rPr>
          <w:rStyle w:val="FootnoteReference"/>
        </w:rPr>
        <w:footnoteReference w:id="6"/>
      </w:r>
      <w:r w:rsidR="007E35FB">
        <w:t xml:space="preserve"> </w:t>
      </w:r>
      <w:r>
        <w:rPr>
          <w:rStyle w:val="FootnoteReference"/>
        </w:rPr>
        <w:footnoteReference w:id="7"/>
      </w:r>
      <w:r w:rsidR="00AD69C8">
        <w:t xml:space="preserve"> O</w:t>
      </w:r>
      <w:r>
        <w:t xml:space="preserve">ther research focuses on the social relationship of Ahmadiyya in society and how the national and local governments are in the grip of conservative/radicalistic </w:t>
      </w:r>
      <w:r w:rsidR="00AD4413">
        <w:t>Islamic movements</w:t>
      </w:r>
      <w:r>
        <w:t>.</w:t>
      </w:r>
      <w:r>
        <w:rPr>
          <w:rStyle w:val="FootnoteReference"/>
        </w:rPr>
        <w:footnoteReference w:id="8"/>
      </w:r>
      <w:r>
        <w:t xml:space="preserve"> </w:t>
      </w:r>
      <w:r w:rsidR="00AD69C8">
        <w:t>Findings from these research initiatives often do not include the experience and needs of the Ahmadiyya community itself.</w:t>
      </w:r>
    </w:p>
    <w:p w14:paraId="35A67B2E" w14:textId="545AF8DF" w:rsidR="00E97E56" w:rsidRPr="00E97E56" w:rsidRDefault="00E97E56" w:rsidP="00E97E56">
      <w:r w:rsidRPr="00E97E56">
        <w:t>The research design has not only taken into account the perspectives and the experiences of the Ahmadiyya,</w:t>
      </w:r>
      <w:r>
        <w:t xml:space="preserve"> </w:t>
      </w:r>
      <w:r w:rsidRPr="00E97E56">
        <w:t>it also includes the perspectives of local government officials, law enforcement officers, local NGOs and religious leaders. Their main concerns are included in the research findings to ensure that all angles are represented. The report presents applicable knowledge with recommendations that can implemented directly by our partners.</w:t>
      </w:r>
    </w:p>
    <w:p w14:paraId="39C766C3" w14:textId="77777777" w:rsidR="00765994" w:rsidRDefault="00765994" w:rsidP="00765994"/>
    <w:p w14:paraId="3FA90389" w14:textId="309B0A77" w:rsidR="007E35FB" w:rsidRDefault="007E35FB" w:rsidP="00765994"/>
    <w:p w14:paraId="51F96773" w14:textId="77777777" w:rsidR="00765994" w:rsidRDefault="00765994" w:rsidP="00765994">
      <w:pPr>
        <w:pStyle w:val="Heading1"/>
      </w:pPr>
      <w:bookmarkStart w:id="5" w:name="_Toc477294858"/>
      <w:r>
        <w:lastRenderedPageBreak/>
        <w:t>Method</w:t>
      </w:r>
      <w:bookmarkEnd w:id="5"/>
    </w:p>
    <w:p w14:paraId="680287F5" w14:textId="77777777" w:rsidR="007566E9" w:rsidRDefault="000A0BD1" w:rsidP="007566E9">
      <w:pPr>
        <w:pStyle w:val="Heading2"/>
      </w:pPr>
      <w:bookmarkStart w:id="6" w:name="_Toc477294859"/>
      <w:r>
        <w:t>Research</w:t>
      </w:r>
      <w:bookmarkEnd w:id="6"/>
    </w:p>
    <w:p w14:paraId="6F0BE3D9" w14:textId="2B31CD85" w:rsidR="00555AD5" w:rsidRDefault="00555AD5" w:rsidP="00555AD5">
      <w:r>
        <w:rPr>
          <w:noProof/>
        </w:rPr>
        <w:drawing>
          <wp:anchor distT="0" distB="0" distL="114300" distR="114300" simplePos="0" relativeHeight="251677696" behindDoc="0" locked="0" layoutInCell="1" allowOverlap="1" wp14:anchorId="7FAE1D0E" wp14:editId="12E7DBD5">
            <wp:simplePos x="0" y="0"/>
            <wp:positionH relativeFrom="column">
              <wp:posOffset>-7620</wp:posOffset>
            </wp:positionH>
            <wp:positionV relativeFrom="paragraph">
              <wp:posOffset>1234440</wp:posOffset>
            </wp:positionV>
            <wp:extent cx="4321810" cy="1524000"/>
            <wp:effectExtent l="0" t="0" r="254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1810" cy="1524000"/>
                    </a:xfrm>
                    <a:prstGeom prst="rect">
                      <a:avLst/>
                    </a:prstGeom>
                    <a:noFill/>
                  </pic:spPr>
                </pic:pic>
              </a:graphicData>
            </a:graphic>
            <wp14:sizeRelH relativeFrom="margin">
              <wp14:pctWidth>0</wp14:pctWidth>
            </wp14:sizeRelH>
            <wp14:sizeRelV relativeFrom="margin">
              <wp14:pctHeight>0</wp14:pctHeight>
            </wp14:sizeRelV>
          </wp:anchor>
        </w:drawing>
      </w:r>
      <w:r>
        <w:t>The research focuses, geographically, on West Java and specifically on the Ahmadiyya communities living in Kuningan, Tasikmalaya, Sukabumi, Bogor and Depok. These regions were selected as they are home to large communities of Ahmadiyya who have experie</w:t>
      </w:r>
      <w:r w:rsidR="00527647">
        <w:t>nced persecution in the past. At</w:t>
      </w:r>
      <w:r>
        <w:t xml:space="preserve"> a district level, the Ahmadiyya communities are never the majority population, but in some villages in the districts, the population of Ahmadiyya comprise the majority. This is particularly important, in order to see the difference in challenges in the villages where Ahmadiyya are a minority in number of population and where they are the majority. </w:t>
      </w:r>
    </w:p>
    <w:p w14:paraId="559DAE93" w14:textId="54BD430D" w:rsidR="00555AD5" w:rsidRPr="00555AD5" w:rsidRDefault="00555AD5" w:rsidP="00555AD5">
      <w:pPr>
        <w:pStyle w:val="Caption"/>
      </w:pPr>
      <w:r>
        <w:t>Map 1: Research locations</w:t>
      </w:r>
    </w:p>
    <w:p w14:paraId="43462FD8" w14:textId="77777777" w:rsidR="00555AD5" w:rsidRDefault="00555AD5" w:rsidP="00765994"/>
    <w:p w14:paraId="3A7BA1D0" w14:textId="7791283C" w:rsidR="00555AD5" w:rsidRDefault="00555AD5" w:rsidP="00555AD5">
      <w:r>
        <w:t>The methodological approach to data collection comprised surveys, focus group discussions and key informant interviews. The first two methods focus on the perspective of the Ahmadiyya, while the key informant interviews targeted non-Ahmadis to collection data and capture the perception of people outside the Ahmadiyya communities.</w:t>
      </w:r>
    </w:p>
    <w:p w14:paraId="487153DA" w14:textId="77777777" w:rsidR="000A0BD1" w:rsidRDefault="000A0BD1" w:rsidP="000A0BD1">
      <w:pPr>
        <w:pStyle w:val="Heading2"/>
      </w:pPr>
      <w:bookmarkStart w:id="7" w:name="_Toc477294860"/>
      <w:r>
        <w:t>Survey</w:t>
      </w:r>
      <w:bookmarkEnd w:id="7"/>
    </w:p>
    <w:p w14:paraId="6F613A88" w14:textId="1D120C9D" w:rsidR="00555AD5" w:rsidRDefault="00555AD5" w:rsidP="00555AD5">
      <w:r>
        <w:t xml:space="preserve">As an Ahmadiyya is not registered as such, there is not exact data available on the number of Ahmadis living in our target areas, nor </w:t>
      </w:r>
      <w:r w:rsidR="00CF3656">
        <w:t>do we know where they exactly live. Therefore, we used Ahmadiyya enumerators to identify the interviewees. The surveys focu</w:t>
      </w:r>
      <w:r>
        <w:t>sed on the head of the household. Together with the community leaders in each of the target areas, we estimated the number of Ahmadiyya households.</w:t>
      </w:r>
    </w:p>
    <w:tbl>
      <w:tblPr>
        <w:tblStyle w:val="GridTable4-Accent1"/>
        <w:tblW w:w="0" w:type="auto"/>
        <w:tblLook w:val="04A0" w:firstRow="1" w:lastRow="0" w:firstColumn="1" w:lastColumn="0" w:noHBand="0" w:noVBand="1"/>
      </w:tblPr>
      <w:tblGrid>
        <w:gridCol w:w="4814"/>
        <w:gridCol w:w="4815"/>
      </w:tblGrid>
      <w:tr w:rsidR="0073450D" w14:paraId="55705AFC" w14:textId="77777777" w:rsidTr="0073450D">
        <w:trPr>
          <w:cnfStyle w:val="100000000000" w:firstRow="1" w:lastRow="0" w:firstColumn="0" w:lastColumn="0" w:oddVBand="0" w:evenVBand="0" w:oddHBand="0"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4814" w:type="dxa"/>
            <w:vAlign w:val="bottom"/>
          </w:tcPr>
          <w:p w14:paraId="34999533" w14:textId="10C0876A" w:rsidR="0073450D" w:rsidRDefault="00621B07" w:rsidP="0073450D">
            <w:pPr>
              <w:jc w:val="center"/>
            </w:pPr>
            <w:r>
              <w:t>Area</w:t>
            </w:r>
          </w:p>
        </w:tc>
        <w:tc>
          <w:tcPr>
            <w:tcW w:w="4815" w:type="dxa"/>
            <w:vAlign w:val="bottom"/>
          </w:tcPr>
          <w:p w14:paraId="02FD9601" w14:textId="77777777" w:rsidR="0073450D" w:rsidRDefault="0073450D" w:rsidP="0073450D">
            <w:pPr>
              <w:jc w:val="center"/>
              <w:cnfStyle w:val="100000000000" w:firstRow="1" w:lastRow="0" w:firstColumn="0" w:lastColumn="0" w:oddVBand="0" w:evenVBand="0" w:oddHBand="0" w:evenHBand="0" w:firstRowFirstColumn="0" w:firstRowLastColumn="0" w:lastRowFirstColumn="0" w:lastRowLastColumn="0"/>
            </w:pPr>
            <w:r>
              <w:t>Number of households</w:t>
            </w:r>
          </w:p>
        </w:tc>
      </w:tr>
      <w:tr w:rsidR="0073450D" w14:paraId="4E2B8B9D" w14:textId="77777777" w:rsidTr="00734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525F5F59" w14:textId="77777777" w:rsidR="0073450D" w:rsidRPr="0073450D" w:rsidRDefault="0073450D" w:rsidP="00765994">
            <w:pPr>
              <w:rPr>
                <w:b w:val="0"/>
              </w:rPr>
            </w:pPr>
            <w:r w:rsidRPr="0073450D">
              <w:rPr>
                <w:b w:val="0"/>
              </w:rPr>
              <w:t>Kuningan</w:t>
            </w:r>
          </w:p>
        </w:tc>
        <w:tc>
          <w:tcPr>
            <w:tcW w:w="4815" w:type="dxa"/>
          </w:tcPr>
          <w:p w14:paraId="2FD9B618" w14:textId="77777777" w:rsidR="0073450D" w:rsidRDefault="0073450D" w:rsidP="00765994">
            <w:pPr>
              <w:cnfStyle w:val="000000100000" w:firstRow="0" w:lastRow="0" w:firstColumn="0" w:lastColumn="0" w:oddVBand="0" w:evenVBand="0" w:oddHBand="1" w:evenHBand="0" w:firstRowFirstColumn="0" w:firstRowLastColumn="0" w:lastRowFirstColumn="0" w:lastRowLastColumn="0"/>
            </w:pPr>
            <w:r>
              <w:t>400</w:t>
            </w:r>
          </w:p>
        </w:tc>
      </w:tr>
      <w:tr w:rsidR="0073450D" w14:paraId="66271915" w14:textId="77777777" w:rsidTr="0073450D">
        <w:tc>
          <w:tcPr>
            <w:cnfStyle w:val="001000000000" w:firstRow="0" w:lastRow="0" w:firstColumn="1" w:lastColumn="0" w:oddVBand="0" w:evenVBand="0" w:oddHBand="0" w:evenHBand="0" w:firstRowFirstColumn="0" w:firstRowLastColumn="0" w:lastRowFirstColumn="0" w:lastRowLastColumn="0"/>
            <w:tcW w:w="4814" w:type="dxa"/>
          </w:tcPr>
          <w:p w14:paraId="7797D827" w14:textId="77777777" w:rsidR="0073450D" w:rsidRPr="0073450D" w:rsidRDefault="0073450D" w:rsidP="00765994">
            <w:pPr>
              <w:rPr>
                <w:b w:val="0"/>
              </w:rPr>
            </w:pPr>
            <w:r w:rsidRPr="0073450D">
              <w:rPr>
                <w:b w:val="0"/>
              </w:rPr>
              <w:t>Tasikmalaya</w:t>
            </w:r>
          </w:p>
        </w:tc>
        <w:tc>
          <w:tcPr>
            <w:tcW w:w="4815" w:type="dxa"/>
          </w:tcPr>
          <w:p w14:paraId="174C535F" w14:textId="77777777" w:rsidR="0073450D" w:rsidRDefault="0073450D" w:rsidP="00765994">
            <w:pPr>
              <w:cnfStyle w:val="000000000000" w:firstRow="0" w:lastRow="0" w:firstColumn="0" w:lastColumn="0" w:oddVBand="0" w:evenVBand="0" w:oddHBand="0" w:evenHBand="0" w:firstRowFirstColumn="0" w:firstRowLastColumn="0" w:lastRowFirstColumn="0" w:lastRowLastColumn="0"/>
            </w:pPr>
            <w:r>
              <w:t>1000</w:t>
            </w:r>
          </w:p>
        </w:tc>
      </w:tr>
      <w:tr w:rsidR="0073450D" w14:paraId="09C61C39" w14:textId="77777777" w:rsidTr="00734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04FA35F7" w14:textId="77777777" w:rsidR="0073450D" w:rsidRPr="0073450D" w:rsidRDefault="0073450D" w:rsidP="00765994">
            <w:pPr>
              <w:rPr>
                <w:b w:val="0"/>
              </w:rPr>
            </w:pPr>
            <w:r w:rsidRPr="0073450D">
              <w:rPr>
                <w:b w:val="0"/>
              </w:rPr>
              <w:lastRenderedPageBreak/>
              <w:t>Sukabumi</w:t>
            </w:r>
          </w:p>
        </w:tc>
        <w:tc>
          <w:tcPr>
            <w:tcW w:w="4815" w:type="dxa"/>
          </w:tcPr>
          <w:p w14:paraId="0DF4F776" w14:textId="77777777" w:rsidR="0073450D" w:rsidRDefault="0073450D" w:rsidP="00765994">
            <w:pPr>
              <w:cnfStyle w:val="000000100000" w:firstRow="0" w:lastRow="0" w:firstColumn="0" w:lastColumn="0" w:oddVBand="0" w:evenVBand="0" w:oddHBand="1" w:evenHBand="0" w:firstRowFirstColumn="0" w:firstRowLastColumn="0" w:lastRowFirstColumn="0" w:lastRowLastColumn="0"/>
            </w:pPr>
            <w:r>
              <w:t>300</w:t>
            </w:r>
          </w:p>
        </w:tc>
      </w:tr>
      <w:tr w:rsidR="0073450D" w14:paraId="6C07DB46" w14:textId="77777777" w:rsidTr="0073450D">
        <w:tc>
          <w:tcPr>
            <w:cnfStyle w:val="001000000000" w:firstRow="0" w:lastRow="0" w:firstColumn="1" w:lastColumn="0" w:oddVBand="0" w:evenVBand="0" w:oddHBand="0" w:evenHBand="0" w:firstRowFirstColumn="0" w:firstRowLastColumn="0" w:lastRowFirstColumn="0" w:lastRowLastColumn="0"/>
            <w:tcW w:w="4814" w:type="dxa"/>
          </w:tcPr>
          <w:p w14:paraId="10356C95" w14:textId="77777777" w:rsidR="0073450D" w:rsidRPr="0073450D" w:rsidRDefault="0073450D" w:rsidP="00765994">
            <w:pPr>
              <w:rPr>
                <w:b w:val="0"/>
              </w:rPr>
            </w:pPr>
            <w:r w:rsidRPr="0073450D">
              <w:rPr>
                <w:b w:val="0"/>
              </w:rPr>
              <w:t>Bogor</w:t>
            </w:r>
          </w:p>
        </w:tc>
        <w:tc>
          <w:tcPr>
            <w:tcW w:w="4815" w:type="dxa"/>
          </w:tcPr>
          <w:p w14:paraId="6C935A9B" w14:textId="77777777" w:rsidR="0073450D" w:rsidRDefault="0073450D" w:rsidP="00765994">
            <w:pPr>
              <w:cnfStyle w:val="000000000000" w:firstRow="0" w:lastRow="0" w:firstColumn="0" w:lastColumn="0" w:oddVBand="0" w:evenVBand="0" w:oddHBand="0" w:evenHBand="0" w:firstRowFirstColumn="0" w:firstRowLastColumn="0" w:lastRowFirstColumn="0" w:lastRowLastColumn="0"/>
            </w:pPr>
            <w:r>
              <w:t>200</w:t>
            </w:r>
          </w:p>
        </w:tc>
      </w:tr>
      <w:tr w:rsidR="0073450D" w14:paraId="2ECD6D49" w14:textId="77777777" w:rsidTr="00734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04740D16" w14:textId="77777777" w:rsidR="0073450D" w:rsidRPr="0073450D" w:rsidRDefault="0073450D" w:rsidP="00765994">
            <w:pPr>
              <w:rPr>
                <w:b w:val="0"/>
              </w:rPr>
            </w:pPr>
            <w:r w:rsidRPr="0073450D">
              <w:rPr>
                <w:b w:val="0"/>
              </w:rPr>
              <w:t>Depok</w:t>
            </w:r>
          </w:p>
        </w:tc>
        <w:tc>
          <w:tcPr>
            <w:tcW w:w="4815" w:type="dxa"/>
          </w:tcPr>
          <w:p w14:paraId="7326B3D2" w14:textId="77777777" w:rsidR="0073450D" w:rsidRDefault="0073450D" w:rsidP="00765994">
            <w:pPr>
              <w:cnfStyle w:val="000000100000" w:firstRow="0" w:lastRow="0" w:firstColumn="0" w:lastColumn="0" w:oddVBand="0" w:evenVBand="0" w:oddHBand="1" w:evenHBand="0" w:firstRowFirstColumn="0" w:firstRowLastColumn="0" w:lastRowFirstColumn="0" w:lastRowLastColumn="0"/>
            </w:pPr>
            <w:r>
              <w:t>250</w:t>
            </w:r>
          </w:p>
        </w:tc>
      </w:tr>
      <w:tr w:rsidR="0073450D" w14:paraId="273507CA" w14:textId="77777777" w:rsidTr="0073450D">
        <w:tc>
          <w:tcPr>
            <w:cnfStyle w:val="001000000000" w:firstRow="0" w:lastRow="0" w:firstColumn="1" w:lastColumn="0" w:oddVBand="0" w:evenVBand="0" w:oddHBand="0" w:evenHBand="0" w:firstRowFirstColumn="0" w:firstRowLastColumn="0" w:lastRowFirstColumn="0" w:lastRowLastColumn="0"/>
            <w:tcW w:w="4814" w:type="dxa"/>
          </w:tcPr>
          <w:p w14:paraId="19E655E0" w14:textId="77777777" w:rsidR="0073450D" w:rsidRDefault="0073450D" w:rsidP="00765994">
            <w:r>
              <w:t>Total</w:t>
            </w:r>
          </w:p>
        </w:tc>
        <w:tc>
          <w:tcPr>
            <w:tcW w:w="4815" w:type="dxa"/>
          </w:tcPr>
          <w:p w14:paraId="34792960" w14:textId="77777777" w:rsidR="0073450D" w:rsidRPr="0073450D" w:rsidRDefault="0073450D" w:rsidP="00765994">
            <w:pPr>
              <w:cnfStyle w:val="000000000000" w:firstRow="0" w:lastRow="0" w:firstColumn="0" w:lastColumn="0" w:oddVBand="0" w:evenVBand="0" w:oddHBand="0" w:evenHBand="0" w:firstRowFirstColumn="0" w:firstRowLastColumn="0" w:lastRowFirstColumn="0" w:lastRowLastColumn="0"/>
              <w:rPr>
                <w:b/>
              </w:rPr>
            </w:pPr>
            <w:r w:rsidRPr="0073450D">
              <w:rPr>
                <w:b/>
              </w:rPr>
              <w:t>2150</w:t>
            </w:r>
          </w:p>
        </w:tc>
      </w:tr>
    </w:tbl>
    <w:p w14:paraId="3878A7E6" w14:textId="5AAE64F0" w:rsidR="0073450D" w:rsidRDefault="0073450D" w:rsidP="0073450D">
      <w:pPr>
        <w:pStyle w:val="Caption"/>
      </w:pPr>
      <w:r>
        <w:t xml:space="preserve">Figure 1: Estimated number of </w:t>
      </w:r>
      <w:r w:rsidR="00621B07">
        <w:t xml:space="preserve">Ahmadiyya </w:t>
      </w:r>
      <w:r>
        <w:t>households in each area</w:t>
      </w:r>
    </w:p>
    <w:p w14:paraId="07CE0264" w14:textId="77777777" w:rsidR="00765994" w:rsidRDefault="00765994" w:rsidP="00765994"/>
    <w:p w14:paraId="053E7605" w14:textId="79C4AB20" w:rsidR="00765994" w:rsidRDefault="007566E9" w:rsidP="00765994">
      <w:r>
        <w:t>With a margin of error of 5%, a</w:t>
      </w:r>
      <w:r w:rsidR="00621B07">
        <w:t xml:space="preserve"> confidence level of 95%</w:t>
      </w:r>
      <w:r w:rsidR="00CF3656">
        <w:t>, the sample size was set at</w:t>
      </w:r>
      <w:r>
        <w:t xml:space="preserve"> </w:t>
      </w:r>
      <w:r w:rsidRPr="00453413">
        <w:rPr>
          <w:b/>
        </w:rPr>
        <w:t xml:space="preserve">326 </w:t>
      </w:r>
      <w:r>
        <w:t>individual heads of household</w:t>
      </w:r>
      <w:r w:rsidR="00D70770">
        <w:t xml:space="preserve"> in the five areas</w:t>
      </w:r>
      <w:r>
        <w:t>.</w:t>
      </w:r>
      <w:r w:rsidR="00453413">
        <w:t xml:space="preserve"> Together with the partners, Farsight has interviewed the h</w:t>
      </w:r>
      <w:r w:rsidR="00CF3656">
        <w:t>eads of households in October and November</w:t>
      </w:r>
      <w:r w:rsidR="00453413">
        <w:t xml:space="preserve"> 2016. </w:t>
      </w:r>
      <w:r w:rsidR="008C6F93">
        <w:t xml:space="preserve">The interviews were conducted in their homes. </w:t>
      </w:r>
      <w:r w:rsidR="00453413">
        <w:t>The sample size was constructed as follow</w:t>
      </w:r>
      <w:r w:rsidR="00527647">
        <w:t>s</w:t>
      </w:r>
      <w:r w:rsidR="00453413">
        <w:t>:</w:t>
      </w:r>
    </w:p>
    <w:p w14:paraId="4842606D" w14:textId="77777777" w:rsidR="00453413" w:rsidRDefault="00453413" w:rsidP="00453413">
      <w:pPr>
        <w:pStyle w:val="ListParagraph"/>
        <w:numPr>
          <w:ilvl w:val="0"/>
          <w:numId w:val="29"/>
        </w:numPr>
      </w:pPr>
      <w:r>
        <w:t xml:space="preserve">Kuningan </w:t>
      </w:r>
      <w:r>
        <w:tab/>
      </w:r>
      <w:r>
        <w:tab/>
      </w:r>
      <w:r>
        <w:sym w:font="Symbol" w:char="F0AE"/>
      </w:r>
      <w:r>
        <w:tab/>
        <w:t xml:space="preserve">62 interviews </w:t>
      </w:r>
    </w:p>
    <w:p w14:paraId="357A21CC" w14:textId="77777777" w:rsidR="00453413" w:rsidRDefault="00453413" w:rsidP="00453413">
      <w:pPr>
        <w:pStyle w:val="ListParagraph"/>
        <w:numPr>
          <w:ilvl w:val="0"/>
          <w:numId w:val="29"/>
        </w:numPr>
      </w:pPr>
      <w:r>
        <w:t>Tasikmalaya</w:t>
      </w:r>
      <w:r>
        <w:tab/>
      </w:r>
      <w:r>
        <w:tab/>
      </w:r>
      <w:r>
        <w:sym w:font="Symbol" w:char="F0AE"/>
      </w:r>
      <w:r>
        <w:tab/>
        <w:t>150 interviews</w:t>
      </w:r>
    </w:p>
    <w:p w14:paraId="296F4DAD" w14:textId="77777777" w:rsidR="00453413" w:rsidRDefault="00453413" w:rsidP="00453413">
      <w:pPr>
        <w:pStyle w:val="ListParagraph"/>
        <w:numPr>
          <w:ilvl w:val="0"/>
          <w:numId w:val="29"/>
        </w:numPr>
      </w:pPr>
      <w:r>
        <w:t>Sukabumi</w:t>
      </w:r>
      <w:r>
        <w:tab/>
      </w:r>
      <w:r>
        <w:tab/>
      </w:r>
      <w:r>
        <w:sym w:font="Symbol" w:char="F0AE"/>
      </w:r>
      <w:r>
        <w:tab/>
        <w:t>46 interviews</w:t>
      </w:r>
    </w:p>
    <w:p w14:paraId="2E03B306" w14:textId="77777777" w:rsidR="00453413" w:rsidRDefault="00453413" w:rsidP="00453413">
      <w:pPr>
        <w:pStyle w:val="ListParagraph"/>
        <w:numPr>
          <w:ilvl w:val="0"/>
          <w:numId w:val="29"/>
        </w:numPr>
      </w:pPr>
      <w:r>
        <w:t>Bogor</w:t>
      </w:r>
      <w:r>
        <w:tab/>
      </w:r>
      <w:r>
        <w:tab/>
      </w:r>
      <w:r>
        <w:tab/>
      </w:r>
      <w:r>
        <w:sym w:font="Symbol" w:char="F0AE"/>
      </w:r>
      <w:r>
        <w:tab/>
        <w:t>29 interviews</w:t>
      </w:r>
    </w:p>
    <w:p w14:paraId="1A30479D" w14:textId="037B570B" w:rsidR="00CF3656" w:rsidRDefault="00453413" w:rsidP="00CF3656">
      <w:pPr>
        <w:pStyle w:val="ListParagraph"/>
        <w:numPr>
          <w:ilvl w:val="0"/>
          <w:numId w:val="29"/>
        </w:numPr>
      </w:pPr>
      <w:r>
        <w:t>Depok</w:t>
      </w:r>
      <w:r>
        <w:tab/>
      </w:r>
      <w:r>
        <w:tab/>
      </w:r>
      <w:r>
        <w:tab/>
      </w:r>
      <w:r>
        <w:sym w:font="Symbol" w:char="F0AE"/>
      </w:r>
      <w:r>
        <w:tab/>
        <w:t>39 interviews</w:t>
      </w:r>
    </w:p>
    <w:p w14:paraId="6559BC61" w14:textId="00474435" w:rsidR="00CF3656" w:rsidRDefault="00CF3656" w:rsidP="00453413">
      <w:r>
        <w:t>We selected a sample size based on the total number of Ahmadiyya community, and not by the highest relevancy for each area. This is because it would have been impossible to find enough interviewees to make our data relevant for each separate area. Therefore, we have analyzed our findings in total of the sample size and not by Ahmadis in each area. We have trained 25 Ahmadiyya enumerators, who were equally divided by area and they have conducted 10-15 interviews each.</w:t>
      </w:r>
    </w:p>
    <w:p w14:paraId="070C5611" w14:textId="145F0B9E" w:rsidR="00345B81" w:rsidRPr="00345B81" w:rsidRDefault="00345B81" w:rsidP="00345B81">
      <w:r w:rsidRPr="00345B81">
        <w:t>The questionnaire is based on variables defined prior to the survey. It asked basic profile questions, like age, education level, and economic situation. Sub variables relating to the experience</w:t>
      </w:r>
      <w:r>
        <w:t xml:space="preserve"> of the Ahm</w:t>
      </w:r>
      <w:r w:rsidRPr="00345B81">
        <w:t>adis are experiences with discrimination; experience of violence; experience of exclusion; reporting of incidents; protection, security and feeling of safety; and the role of local and national government (with regards to protection and security).</w:t>
      </w:r>
    </w:p>
    <w:p w14:paraId="7F4E72DC" w14:textId="77777777" w:rsidR="00345B81" w:rsidRPr="00345B81" w:rsidRDefault="00345B81" w:rsidP="00345B81">
      <w:r w:rsidRPr="00345B81">
        <w:t>The purpose of the survey is to gather quantitative and qualitative data on the experience of Ahmadis on the variables described above. It is a semi-structured survey, with closed, multiple choice and open questions. Especially with the open questions, the research tries to capture the needs and opinions of the Ahmadiyya related to their protection and security.</w:t>
      </w:r>
    </w:p>
    <w:p w14:paraId="65B77FC0" w14:textId="77777777" w:rsidR="00FD06EC" w:rsidRDefault="00FD06EC" w:rsidP="00FD06EC">
      <w:pPr>
        <w:pStyle w:val="Heading2"/>
      </w:pPr>
      <w:bookmarkStart w:id="8" w:name="_Toc477294861"/>
      <w:r>
        <w:t>Focus Group Discussions</w:t>
      </w:r>
      <w:bookmarkEnd w:id="8"/>
    </w:p>
    <w:p w14:paraId="2244767C" w14:textId="77777777" w:rsidR="00345B81" w:rsidRPr="00345B81" w:rsidRDefault="00345B81" w:rsidP="00345B81">
      <w:r w:rsidRPr="00345B81">
        <w:t xml:space="preserve">The Focus Group Discussions (FGDs) complement the survey by collecting more in-depth qualitative data to support the survey. The questions derived from the same variables, but the FGD gave us the opportunity to probe more questions and ask for opinions or examples of </w:t>
      </w:r>
      <w:r w:rsidRPr="00345B81">
        <w:lastRenderedPageBreak/>
        <w:t xml:space="preserve">experiences. Indirectly, the FGDs also served the purpose of building rapport with the communities, minimizing distrust during the data collection phase. </w:t>
      </w:r>
    </w:p>
    <w:p w14:paraId="4BACE654" w14:textId="0A53C996" w:rsidR="00FD06EC" w:rsidRDefault="0020107B" w:rsidP="00FD06EC">
      <w:r>
        <w:t>We invited</w:t>
      </w:r>
      <w:r w:rsidR="007C1B91">
        <w:t xml:space="preserve"> women, men and youth</w:t>
      </w:r>
      <w:r>
        <w:t xml:space="preserve"> to</w:t>
      </w:r>
      <w:r w:rsidR="007C1B91">
        <w:t>gether in</w:t>
      </w:r>
      <w:r>
        <w:t xml:space="preserve"> the FGDs in each of the </w:t>
      </w:r>
      <w:r w:rsidR="001277B1">
        <w:t xml:space="preserve">target </w:t>
      </w:r>
      <w:r>
        <w:t>areas.</w:t>
      </w:r>
      <w:r w:rsidR="005D2D3E">
        <w:t xml:space="preserve"> The selection of the participants was done in collaboration with the Ahmadiyya community leaders.</w:t>
      </w:r>
      <w:r w:rsidR="005D2D3E" w:rsidRPr="005D2D3E">
        <w:t xml:space="preserve"> </w:t>
      </w:r>
      <w:r w:rsidR="005D2D3E">
        <w:t xml:space="preserve">It was impossible to get enough Ahmadiyya women and youth to have one FGD separately. Despite that, we still have been able to collect stories and experiences from women and youth in these discussions. </w:t>
      </w:r>
    </w:p>
    <w:tbl>
      <w:tblPr>
        <w:tblStyle w:val="FarsightTable"/>
        <w:tblW w:w="0" w:type="auto"/>
        <w:tblLook w:val="04A0" w:firstRow="1" w:lastRow="0" w:firstColumn="1" w:lastColumn="0" w:noHBand="0" w:noVBand="1"/>
      </w:tblPr>
      <w:tblGrid>
        <w:gridCol w:w="704"/>
        <w:gridCol w:w="2254"/>
        <w:gridCol w:w="2254"/>
        <w:gridCol w:w="2254"/>
      </w:tblGrid>
      <w:tr w:rsidR="00345B81" w:rsidRPr="00345B81" w14:paraId="6DA336C3" w14:textId="77777777" w:rsidTr="00345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42ADC4C0"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No.</w:t>
            </w:r>
          </w:p>
        </w:tc>
        <w:tc>
          <w:tcPr>
            <w:tcW w:w="2254" w:type="dxa"/>
            <w:hideMark/>
          </w:tcPr>
          <w:p w14:paraId="1F61D40A" w14:textId="77777777" w:rsidR="00345B81" w:rsidRPr="00345B81" w:rsidRDefault="00345B81" w:rsidP="00345B81">
            <w:pPr>
              <w:widowControl/>
              <w:autoSpaceDE/>
              <w:autoSpaceDN/>
              <w:adjustRightInd/>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Location of FGD</w:t>
            </w:r>
          </w:p>
        </w:tc>
        <w:tc>
          <w:tcPr>
            <w:tcW w:w="2254" w:type="dxa"/>
            <w:hideMark/>
          </w:tcPr>
          <w:p w14:paraId="071058C1" w14:textId="010D1E4D" w:rsidR="00345B81" w:rsidRPr="00345B81" w:rsidRDefault="00345B81" w:rsidP="00345B81">
            <w:pPr>
              <w:widowControl/>
              <w:autoSpaceDE/>
              <w:autoSpaceDN/>
              <w:adjustRightInd/>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Pr>
                <w:rFonts w:ascii="Calibri" w:eastAsia="Calibri" w:hAnsi="Calibri" w:cs="Arial"/>
                <w:color w:val="auto"/>
                <w:szCs w:val="22"/>
              </w:rPr>
              <w:t xml:space="preserve"># of </w:t>
            </w:r>
            <w:r w:rsidRPr="00345B81">
              <w:rPr>
                <w:rFonts w:ascii="Calibri" w:eastAsia="Calibri" w:hAnsi="Calibri" w:cs="Arial"/>
                <w:color w:val="auto"/>
                <w:sz w:val="22"/>
                <w:szCs w:val="22"/>
                <w:lang w:val="en-GB"/>
              </w:rPr>
              <w:t>Female Participants</w:t>
            </w:r>
          </w:p>
        </w:tc>
        <w:tc>
          <w:tcPr>
            <w:tcW w:w="2254" w:type="dxa"/>
            <w:hideMark/>
          </w:tcPr>
          <w:p w14:paraId="1929A4C7" w14:textId="166F08E8" w:rsidR="00345B81" w:rsidRPr="00345B81" w:rsidRDefault="00345B81" w:rsidP="00345B81">
            <w:pPr>
              <w:widowControl/>
              <w:autoSpaceDE/>
              <w:autoSpaceDN/>
              <w:adjustRightInd/>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Pr>
                <w:rFonts w:ascii="Calibri" w:eastAsia="Calibri" w:hAnsi="Calibri" w:cs="Arial"/>
                <w:color w:val="auto"/>
                <w:szCs w:val="22"/>
              </w:rPr>
              <w:t xml:space="preserve"># of </w:t>
            </w:r>
            <w:r w:rsidRPr="00345B81">
              <w:rPr>
                <w:rFonts w:ascii="Calibri" w:eastAsia="Calibri" w:hAnsi="Calibri" w:cs="Arial"/>
                <w:color w:val="auto"/>
                <w:sz w:val="22"/>
                <w:szCs w:val="22"/>
                <w:lang w:val="en-GB"/>
              </w:rPr>
              <w:t>Male Participants</w:t>
            </w:r>
          </w:p>
        </w:tc>
      </w:tr>
      <w:tr w:rsidR="00345B81" w:rsidRPr="00345B81" w14:paraId="2310F162" w14:textId="77777777" w:rsidTr="00345B81">
        <w:tc>
          <w:tcPr>
            <w:cnfStyle w:val="001000000000" w:firstRow="0" w:lastRow="0" w:firstColumn="1" w:lastColumn="0" w:oddVBand="0" w:evenVBand="0" w:oddHBand="0" w:evenHBand="0" w:firstRowFirstColumn="0" w:firstRowLastColumn="0" w:lastRowFirstColumn="0" w:lastRowLastColumn="0"/>
            <w:tcW w:w="704" w:type="dxa"/>
            <w:hideMark/>
          </w:tcPr>
          <w:p w14:paraId="2978DA31"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1</w:t>
            </w:r>
          </w:p>
        </w:tc>
        <w:tc>
          <w:tcPr>
            <w:tcW w:w="2254" w:type="dxa"/>
            <w:hideMark/>
          </w:tcPr>
          <w:p w14:paraId="1C574D50"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Sukabumi</w:t>
            </w:r>
          </w:p>
        </w:tc>
        <w:tc>
          <w:tcPr>
            <w:tcW w:w="2254" w:type="dxa"/>
            <w:hideMark/>
          </w:tcPr>
          <w:p w14:paraId="5C3DC2CA"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10</w:t>
            </w:r>
          </w:p>
        </w:tc>
        <w:tc>
          <w:tcPr>
            <w:tcW w:w="2254" w:type="dxa"/>
            <w:hideMark/>
          </w:tcPr>
          <w:p w14:paraId="48669939"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24</w:t>
            </w:r>
          </w:p>
        </w:tc>
      </w:tr>
      <w:tr w:rsidR="00345B81" w:rsidRPr="00345B81" w14:paraId="20F34ED0" w14:textId="77777777" w:rsidTr="00345B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5C08EFA0"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2</w:t>
            </w:r>
          </w:p>
        </w:tc>
        <w:tc>
          <w:tcPr>
            <w:tcW w:w="2254" w:type="dxa"/>
            <w:hideMark/>
          </w:tcPr>
          <w:p w14:paraId="5DDDC1B6"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Tasikmalaya</w:t>
            </w:r>
          </w:p>
        </w:tc>
        <w:tc>
          <w:tcPr>
            <w:tcW w:w="2254" w:type="dxa"/>
            <w:hideMark/>
          </w:tcPr>
          <w:p w14:paraId="1F5D553C"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3</w:t>
            </w:r>
          </w:p>
        </w:tc>
        <w:tc>
          <w:tcPr>
            <w:tcW w:w="2254" w:type="dxa"/>
            <w:hideMark/>
          </w:tcPr>
          <w:p w14:paraId="5A9BAAC6"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15</w:t>
            </w:r>
          </w:p>
        </w:tc>
      </w:tr>
      <w:tr w:rsidR="00345B81" w:rsidRPr="00345B81" w14:paraId="69BCA396" w14:textId="77777777" w:rsidTr="00345B81">
        <w:tc>
          <w:tcPr>
            <w:cnfStyle w:val="001000000000" w:firstRow="0" w:lastRow="0" w:firstColumn="1" w:lastColumn="0" w:oddVBand="0" w:evenVBand="0" w:oddHBand="0" w:evenHBand="0" w:firstRowFirstColumn="0" w:firstRowLastColumn="0" w:lastRowFirstColumn="0" w:lastRowLastColumn="0"/>
            <w:tcW w:w="704" w:type="dxa"/>
            <w:hideMark/>
          </w:tcPr>
          <w:p w14:paraId="31235615"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3</w:t>
            </w:r>
          </w:p>
        </w:tc>
        <w:tc>
          <w:tcPr>
            <w:tcW w:w="2254" w:type="dxa"/>
            <w:hideMark/>
          </w:tcPr>
          <w:p w14:paraId="33AA3946"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Depok/Bogor</w:t>
            </w:r>
          </w:p>
        </w:tc>
        <w:tc>
          <w:tcPr>
            <w:tcW w:w="2254" w:type="dxa"/>
            <w:hideMark/>
          </w:tcPr>
          <w:p w14:paraId="2463FD83"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8</w:t>
            </w:r>
          </w:p>
        </w:tc>
        <w:tc>
          <w:tcPr>
            <w:tcW w:w="2254" w:type="dxa"/>
            <w:hideMark/>
          </w:tcPr>
          <w:p w14:paraId="2B013E38"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17</w:t>
            </w:r>
          </w:p>
        </w:tc>
      </w:tr>
      <w:tr w:rsidR="00345B81" w:rsidRPr="00345B81" w14:paraId="225E6837" w14:textId="77777777" w:rsidTr="00345B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04DCA902"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4</w:t>
            </w:r>
          </w:p>
        </w:tc>
        <w:tc>
          <w:tcPr>
            <w:tcW w:w="2254" w:type="dxa"/>
            <w:hideMark/>
          </w:tcPr>
          <w:p w14:paraId="204C5A57"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Kuningan</w:t>
            </w:r>
          </w:p>
        </w:tc>
        <w:tc>
          <w:tcPr>
            <w:tcW w:w="2254" w:type="dxa"/>
            <w:hideMark/>
          </w:tcPr>
          <w:p w14:paraId="2C328051"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9</w:t>
            </w:r>
          </w:p>
        </w:tc>
        <w:tc>
          <w:tcPr>
            <w:tcW w:w="2254" w:type="dxa"/>
            <w:hideMark/>
          </w:tcPr>
          <w:p w14:paraId="28716C8F" w14:textId="77777777" w:rsidR="00345B81" w:rsidRPr="00345B81" w:rsidRDefault="00345B81" w:rsidP="00345B81">
            <w:pPr>
              <w:widowControl/>
              <w:autoSpaceDE/>
              <w:autoSpaceDN/>
              <w:adjustRightInd/>
              <w:spacing w:before="0"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 w:val="22"/>
                <w:szCs w:val="22"/>
                <w:lang w:val="en-GB"/>
              </w:rPr>
            </w:pPr>
            <w:r w:rsidRPr="00345B81">
              <w:rPr>
                <w:rFonts w:ascii="Calibri" w:eastAsia="Calibri" w:hAnsi="Calibri" w:cs="Arial"/>
                <w:color w:val="auto"/>
                <w:sz w:val="22"/>
                <w:szCs w:val="22"/>
                <w:lang w:val="en-GB"/>
              </w:rPr>
              <w:t>11</w:t>
            </w:r>
          </w:p>
        </w:tc>
      </w:tr>
      <w:tr w:rsidR="00345B81" w:rsidRPr="00345B81" w14:paraId="61F02171" w14:textId="77777777" w:rsidTr="00345B81">
        <w:tc>
          <w:tcPr>
            <w:cnfStyle w:val="001000000000" w:firstRow="0" w:lastRow="0" w:firstColumn="1" w:lastColumn="0" w:oddVBand="0" w:evenVBand="0" w:oddHBand="0" w:evenHBand="0" w:firstRowFirstColumn="0" w:firstRowLastColumn="0" w:lastRowFirstColumn="0" w:lastRowLastColumn="0"/>
            <w:tcW w:w="704" w:type="dxa"/>
          </w:tcPr>
          <w:p w14:paraId="1AD0DDA6" w14:textId="77777777" w:rsidR="00345B81" w:rsidRPr="00345B81" w:rsidRDefault="00345B81" w:rsidP="00345B81">
            <w:pPr>
              <w:widowControl/>
              <w:autoSpaceDE/>
              <w:autoSpaceDN/>
              <w:adjustRightInd/>
              <w:spacing w:before="0" w:after="0" w:line="240" w:lineRule="auto"/>
              <w:jc w:val="left"/>
              <w:rPr>
                <w:rFonts w:ascii="Calibri" w:eastAsia="Calibri" w:hAnsi="Calibri" w:cs="Arial"/>
                <w:color w:val="auto"/>
                <w:sz w:val="22"/>
                <w:szCs w:val="22"/>
                <w:lang w:val="en-GB"/>
              </w:rPr>
            </w:pPr>
          </w:p>
        </w:tc>
        <w:tc>
          <w:tcPr>
            <w:tcW w:w="2254" w:type="dxa"/>
            <w:hideMark/>
          </w:tcPr>
          <w:p w14:paraId="59D3F0B6"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b/>
                <w:color w:val="auto"/>
                <w:sz w:val="22"/>
                <w:szCs w:val="22"/>
                <w:lang w:val="en-GB"/>
              </w:rPr>
            </w:pPr>
            <w:r w:rsidRPr="00345B81">
              <w:rPr>
                <w:rFonts w:ascii="Calibri" w:eastAsia="Calibri" w:hAnsi="Calibri" w:cs="Arial"/>
                <w:b/>
                <w:color w:val="auto"/>
                <w:sz w:val="22"/>
                <w:szCs w:val="22"/>
                <w:lang w:val="en-GB"/>
              </w:rPr>
              <w:t>Total</w:t>
            </w:r>
          </w:p>
        </w:tc>
        <w:tc>
          <w:tcPr>
            <w:tcW w:w="2254" w:type="dxa"/>
            <w:hideMark/>
          </w:tcPr>
          <w:p w14:paraId="32C653EE"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b/>
                <w:color w:val="auto"/>
                <w:sz w:val="22"/>
                <w:szCs w:val="22"/>
                <w:lang w:val="en-GB"/>
              </w:rPr>
            </w:pPr>
            <w:r w:rsidRPr="00345B81">
              <w:rPr>
                <w:rFonts w:ascii="Calibri" w:eastAsia="Calibri" w:hAnsi="Calibri" w:cs="Arial"/>
                <w:b/>
                <w:color w:val="auto"/>
                <w:sz w:val="22"/>
                <w:szCs w:val="22"/>
                <w:lang w:val="en-GB"/>
              </w:rPr>
              <w:t>30</w:t>
            </w:r>
          </w:p>
        </w:tc>
        <w:tc>
          <w:tcPr>
            <w:tcW w:w="2254" w:type="dxa"/>
            <w:hideMark/>
          </w:tcPr>
          <w:p w14:paraId="7D8E94D1" w14:textId="77777777" w:rsidR="00345B81" w:rsidRPr="00345B81" w:rsidRDefault="00345B81" w:rsidP="00345B81">
            <w:pPr>
              <w:widowControl/>
              <w:autoSpaceDE/>
              <w:autoSpaceDN/>
              <w:adjustRightInd/>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b/>
                <w:color w:val="auto"/>
                <w:sz w:val="22"/>
                <w:szCs w:val="22"/>
                <w:lang w:val="en-GB"/>
              </w:rPr>
            </w:pPr>
            <w:r w:rsidRPr="00345B81">
              <w:rPr>
                <w:rFonts w:ascii="Calibri" w:eastAsia="Calibri" w:hAnsi="Calibri" w:cs="Arial"/>
                <w:b/>
                <w:color w:val="auto"/>
                <w:sz w:val="22"/>
                <w:szCs w:val="22"/>
                <w:lang w:val="en-GB"/>
              </w:rPr>
              <w:t>67</w:t>
            </w:r>
          </w:p>
        </w:tc>
      </w:tr>
    </w:tbl>
    <w:p w14:paraId="65EEF626" w14:textId="5B08871A" w:rsidR="00345B81" w:rsidRDefault="00345B81" w:rsidP="00345B81">
      <w:pPr>
        <w:pStyle w:val="Caption"/>
      </w:pPr>
      <w:r>
        <w:t>Figure 2: Distinction between male and female participants in the FGDs</w:t>
      </w:r>
    </w:p>
    <w:p w14:paraId="430D0ED7" w14:textId="77777777" w:rsidR="00FD06EC" w:rsidRDefault="00FD06EC" w:rsidP="00FD06EC">
      <w:pPr>
        <w:pStyle w:val="Heading2"/>
      </w:pPr>
      <w:bookmarkStart w:id="9" w:name="_Toc477294862"/>
      <w:r>
        <w:t>Key Informant Interviews</w:t>
      </w:r>
      <w:bookmarkEnd w:id="9"/>
    </w:p>
    <w:p w14:paraId="66FF1E47" w14:textId="37505EB5" w:rsidR="00FD06EC" w:rsidRDefault="001277B1" w:rsidP="00FD06EC">
      <w:r>
        <w:t xml:space="preserve">To obtain data from outside the Ahmadiyya community on their perspective on the Ahmadis in the target areas, we have conducted </w:t>
      </w:r>
      <w:r w:rsidR="008F344B">
        <w:t>key informant interviews (</w:t>
      </w:r>
      <w:r>
        <w:t>KII</w:t>
      </w:r>
      <w:r w:rsidR="008F344B">
        <w:t>s)</w:t>
      </w:r>
      <w:r>
        <w:t xml:space="preserve"> with non-government organizations, religious organizations, law enforcement (mainly police officials) and representatives of the local government. </w:t>
      </w:r>
      <w:r w:rsidR="00345B81">
        <w:t>From the same variables</w:t>
      </w:r>
      <w:r w:rsidR="0037273E">
        <w:t xml:space="preserve">, we </w:t>
      </w:r>
      <w:r w:rsidR="008F344B">
        <w:t xml:space="preserve">have </w:t>
      </w:r>
      <w:r w:rsidR="0037273E">
        <w:t>designed a semi-structured interview for each of the four mentioned groups.</w:t>
      </w:r>
      <w:r w:rsidR="005974E1">
        <w:t xml:space="preserve"> We have interviewed 2 persons in each group in every target area.</w:t>
      </w:r>
      <w:r w:rsidR="0037273E">
        <w:t xml:space="preserve"> </w:t>
      </w:r>
      <w:r w:rsidR="0067563F">
        <w:t xml:space="preserve">The data from the KII cross- </w:t>
      </w:r>
      <w:r w:rsidR="0037273E">
        <w:t>validate</w:t>
      </w:r>
      <w:r w:rsidR="0067563F">
        <w:t>s</w:t>
      </w:r>
      <w:r w:rsidR="0037273E">
        <w:t xml:space="preserve"> the data from th</w:t>
      </w:r>
      <w:r w:rsidR="008F344B">
        <w:t xml:space="preserve">e FGD and survey, as well </w:t>
      </w:r>
      <w:r w:rsidR="005974E1">
        <w:t>as</w:t>
      </w:r>
      <w:r w:rsidR="0037273E">
        <w:t xml:space="preserve"> to counter check the experience</w:t>
      </w:r>
      <w:r w:rsidR="00587AE5">
        <w:t>s</w:t>
      </w:r>
      <w:r w:rsidR="0037273E">
        <w:t xml:space="preserve"> and opinions from the Ahmadiyya community on protection and security measures</w:t>
      </w:r>
      <w:r w:rsidR="0067563F">
        <w:t xml:space="preserve"> (from the police and local government for instance)</w:t>
      </w:r>
      <w:r w:rsidR="00090D3F">
        <w:t>.</w:t>
      </w:r>
    </w:p>
    <w:p w14:paraId="64397144" w14:textId="77777777" w:rsidR="00FD06EC" w:rsidRDefault="00F07FCA" w:rsidP="00F07FCA">
      <w:pPr>
        <w:pStyle w:val="Heading2"/>
      </w:pPr>
      <w:bookmarkStart w:id="10" w:name="_Toc477294863"/>
      <w:r>
        <w:t>Context Analysis</w:t>
      </w:r>
      <w:bookmarkEnd w:id="10"/>
    </w:p>
    <w:p w14:paraId="11F3A011" w14:textId="0C2BACDB" w:rsidR="00CF3656" w:rsidRDefault="005974E1" w:rsidP="00CF3656">
      <w:r>
        <w:t xml:space="preserve">Prior to the research, the team has conducted context analysis. We have interviewed several prominent researchers in Jakarta and have conducted a desk study of other academic literature to understand the current and historical situation of the Ahmadiyya. A context document was developed and in this document, a historical background was provided, terminology explained and the rule of law towards religious minorities elaborated. The context analysis can be found in </w:t>
      </w:r>
      <w:r w:rsidR="00CF3656">
        <w:t>Annex 5. It provides useful context to inform the research and analysis.</w:t>
      </w:r>
    </w:p>
    <w:p w14:paraId="7DF771B8" w14:textId="2910B7F4" w:rsidR="00CF3656" w:rsidRDefault="00CF3656" w:rsidP="00CF3656">
      <w:r>
        <w:t xml:space="preserve">The research team </w:t>
      </w:r>
      <w:r w:rsidR="005974E1">
        <w:t xml:space="preserve">also </w:t>
      </w:r>
      <w:r>
        <w:t xml:space="preserve">visited the target areas before the start of the research. Interviews were conducted with the local Ahmadiyya leaders to obtain their permission to conduct the survey interviews and FGDs. With the data obtained from the visit, we have been able to improve the research methodology. </w:t>
      </w:r>
    </w:p>
    <w:p w14:paraId="35DDF11D" w14:textId="77777777" w:rsidR="00765994" w:rsidRDefault="0067563F" w:rsidP="0067563F">
      <w:pPr>
        <w:pStyle w:val="Heading2"/>
      </w:pPr>
      <w:bookmarkStart w:id="11" w:name="_Toc477294864"/>
      <w:r>
        <w:lastRenderedPageBreak/>
        <w:t>Limitations and challenges</w:t>
      </w:r>
      <w:bookmarkEnd w:id="11"/>
    </w:p>
    <w:p w14:paraId="3480012A" w14:textId="285DC177" w:rsidR="00153CB7" w:rsidRDefault="00153CB7" w:rsidP="00153CB7">
      <w:r>
        <w:t>In general, most Ahmadis are not publicly identifying themselves as being an Ahmadiyya. Consequently, without knowing the exact number of Ahmadiyya, their residences and the availability for an interview, it was challenging to determine a sample size. We set an ambitious target for the size of the sample. Together with the support from local Ahmadiyya leaders, in a short amount of time we managed to build trust and the comfort to talk to us. It also helped that the partner organizations were known in the areas. Normally, many requests for interviews and surveys are denied, because according to the leaders, if there is too much exposure on them, the likelihood of violent attacks happen, increases.</w:t>
      </w:r>
    </w:p>
    <w:p w14:paraId="2DB9859F" w14:textId="7E0D33F1" w:rsidR="00153CB7" w:rsidRDefault="00153CB7" w:rsidP="00153CB7">
      <w:r>
        <w:t xml:space="preserve">The Ahmadiyya are vulnerable and therefore a hard to reach group. </w:t>
      </w:r>
      <w:r w:rsidR="00560297">
        <w:t xml:space="preserve">It is difficult for outsiders to have interaction with them. </w:t>
      </w:r>
      <w:r>
        <w:t>In approaching the Ahmadiyya community, permission is needed from the local leaders, who need permission from the headquarters in Bogor (JAI-</w:t>
      </w:r>
      <w:proofErr w:type="spellStart"/>
      <w:r>
        <w:t>Jemaat</w:t>
      </w:r>
      <w:proofErr w:type="spellEnd"/>
      <w:r>
        <w:t xml:space="preserve"> Ahmadiyya Indonesia, organization of Ahmadiyya in Indonesia). The survey interviews needed to be conducted discreetly, as most of the Ahmadiyya wanted to remain anonymous.</w:t>
      </w:r>
      <w:r w:rsidR="005974E1">
        <w:t xml:space="preserve"> For this reason, we recruited</w:t>
      </w:r>
      <w:r>
        <w:t xml:space="preserve"> Ahmadiyya enumerators from the target areas itself. We selected the enumerators, based on education, age and their interest in the survey. We trained the enumerators in conducting a survey and gave them specific instructions for the questionnaire.</w:t>
      </w:r>
    </w:p>
    <w:p w14:paraId="57B006AF" w14:textId="01332505" w:rsidR="00153CB7" w:rsidRDefault="00153CB7" w:rsidP="00153CB7">
      <w:r>
        <w:t xml:space="preserve">In conducting all parts of the research, safety was a consideration. From previous experiences, we knew it was difficult to conduct FGDs in their own area. If Hard-line Muslim groups will find out about the FGDs, they could have disturbed the event. We had to bring the participants to a safe and neutral place, where they felt comfortable and were a condition to speak freely was created, without having to fear attack from radical Muslim groups. Our capacity to protect the Ahmadiyya participants had these groups known about the discussions was minimal, so risk mitigation measures were employed. </w:t>
      </w:r>
    </w:p>
    <w:p w14:paraId="16FD57D2" w14:textId="18061FEE" w:rsidR="00153CB7" w:rsidRDefault="00153CB7" w:rsidP="00153CB7">
      <w:r>
        <w:t>For the survey, it was a challenge to interview women. Traditionally, the men are seen as head of the household and they generally speak for the family. We overcame this challenge by doing some of the interviews in the morning or afternoon, when only the women were home. We still asked if they had permission from their husband to speak to us. In the end, 70% of the respondents were men, 30% were women. From the FGDs, we have been able to collect additional data from women.</w:t>
      </w:r>
    </w:p>
    <w:p w14:paraId="3E03BB03" w14:textId="3E66BEE5" w:rsidR="00B96C6F" w:rsidRDefault="00B96C6F" w:rsidP="00153CB7">
      <w:r>
        <w:t>Another challenge was the correct translation from English to Bahasa Indonesia. We translated the survey, FGD and KII questions from English to Bahasa Indonesia. The translation from the open questions in the survey, the FGD and KII from Bahasa Indonesia to English was time consuming. We mitigated the risk of any mistranslation and misinterpretation by hiring an official translator that worked together with a person in the research team.</w:t>
      </w:r>
    </w:p>
    <w:p w14:paraId="22FE0955" w14:textId="55349C0A" w:rsidR="00765994" w:rsidRDefault="00153CB7" w:rsidP="00765994">
      <w:r>
        <w:t xml:space="preserve">Finally, the Ahmadiyya headquarter in Bogor checked the questionnaire before we started. Their input included suggestions on how to approach the respondents, with only minimal </w:t>
      </w:r>
      <w:r>
        <w:lastRenderedPageBreak/>
        <w:t>restrictions on areas of questioning. Especially, because of the sensitivity of some of the questions about experience with violence and discrimination, it had the risk of not being answered openly. In order to mitigate this risk, we spent time during the interview building trust and rapport with participants. Interviews lasted between 1 to 1.5 hours on average. We also tested the sensitivity of questions with Ahmadis during the FGDs and by conducting pilot surveys. In addition, we used several questioning techniques to obtain potentially sensitive information. For example, the interviewer gave the respondent various opportunities to give information on sensitive topics by asking similar questions during the interview, and by asking follow-up questions once an issue was identified.</w:t>
      </w:r>
    </w:p>
    <w:p w14:paraId="5E9A6A69" w14:textId="55905354" w:rsidR="00765994" w:rsidRDefault="00765994" w:rsidP="00765994"/>
    <w:p w14:paraId="1CD9A285" w14:textId="7C52D94F" w:rsidR="005974E1" w:rsidRDefault="005974E1" w:rsidP="00765994"/>
    <w:p w14:paraId="11679726" w14:textId="32DBBAA8" w:rsidR="005974E1" w:rsidRDefault="005974E1" w:rsidP="00765994"/>
    <w:p w14:paraId="32947D99" w14:textId="499190B8" w:rsidR="005974E1" w:rsidRDefault="005974E1" w:rsidP="00765994"/>
    <w:p w14:paraId="7069AF58" w14:textId="110C9D00" w:rsidR="005974E1" w:rsidRDefault="005974E1" w:rsidP="00765994"/>
    <w:p w14:paraId="2BEFB13D" w14:textId="05AD565C" w:rsidR="005974E1" w:rsidRDefault="005974E1" w:rsidP="00765994"/>
    <w:p w14:paraId="65D6C636" w14:textId="263AA643" w:rsidR="005974E1" w:rsidRDefault="005974E1" w:rsidP="00765994"/>
    <w:p w14:paraId="33090D17" w14:textId="3F1FCEFB" w:rsidR="005974E1" w:rsidRDefault="005974E1" w:rsidP="00765994"/>
    <w:p w14:paraId="4254533E" w14:textId="07363CAB" w:rsidR="005974E1" w:rsidRDefault="005974E1" w:rsidP="00765994"/>
    <w:p w14:paraId="46C2248B" w14:textId="6BA2D18C" w:rsidR="005974E1" w:rsidRDefault="005974E1" w:rsidP="00765994"/>
    <w:p w14:paraId="604DD840" w14:textId="5A7E668F" w:rsidR="005974E1" w:rsidRDefault="005974E1" w:rsidP="00765994"/>
    <w:p w14:paraId="3E315138" w14:textId="6C8DF848" w:rsidR="005974E1" w:rsidRDefault="005974E1" w:rsidP="00765994"/>
    <w:p w14:paraId="1D7ACB35" w14:textId="75659040" w:rsidR="005974E1" w:rsidRDefault="005974E1" w:rsidP="00765994"/>
    <w:p w14:paraId="545BED72" w14:textId="6036F5AF" w:rsidR="005974E1" w:rsidRDefault="005974E1" w:rsidP="00765994"/>
    <w:p w14:paraId="377C1ED4" w14:textId="6B776A38" w:rsidR="005974E1" w:rsidRDefault="005974E1" w:rsidP="00765994"/>
    <w:p w14:paraId="5F32D9E2" w14:textId="49EFF63C" w:rsidR="005974E1" w:rsidRDefault="005974E1" w:rsidP="00765994"/>
    <w:p w14:paraId="15C62CFC" w14:textId="77777777" w:rsidR="005974E1" w:rsidRDefault="005974E1" w:rsidP="00765994"/>
    <w:p w14:paraId="64F12458" w14:textId="77777777" w:rsidR="00765994" w:rsidRDefault="00E5036C" w:rsidP="00E5036C">
      <w:pPr>
        <w:pStyle w:val="Heading1"/>
      </w:pPr>
      <w:bookmarkStart w:id="12" w:name="_Toc477294865"/>
      <w:r>
        <w:lastRenderedPageBreak/>
        <w:t>De</w:t>
      </w:r>
      <w:r w:rsidR="008D1D1B">
        <w:t>mographic profile</w:t>
      </w:r>
      <w:bookmarkEnd w:id="12"/>
    </w:p>
    <w:p w14:paraId="7047662E" w14:textId="083157B0" w:rsidR="00B85A10" w:rsidRDefault="00B85A10" w:rsidP="00B85A10">
      <w:r>
        <w:t>S</w:t>
      </w:r>
      <w:r w:rsidR="002E1104">
        <w:t>urvey respondents represent</w:t>
      </w:r>
      <w:r>
        <w:t xml:space="preserve"> five areas across Indonesia. The five areas are divided into districts and villages. The research team did not have the information in which villages exactly the Ahmadiyya live. In some of the villages the Ahmadiyya community is the majority, but in most of the villages and districts they are the minority population. It is difficult to generalize on area and district level, because for example, in one village the Ahmadis have a problem in obtaining an ID card, but in a neighboring village, they do not have that problem, but they might have problems in obtaining marriage c</w:t>
      </w:r>
      <w:r w:rsidR="005974E1">
        <w:t>ertificates. As represented in Figure 3</w:t>
      </w:r>
      <w:r>
        <w:t>, Tasikmalaya has the largest Ahmadiyya community of the five areas and therefore they represent 40% of the total sample.</w:t>
      </w:r>
    </w:p>
    <w:p w14:paraId="7A3BADB0" w14:textId="77777777" w:rsidR="002E0EF9" w:rsidRDefault="002E0EF9" w:rsidP="00765994">
      <w:r>
        <w:rPr>
          <w:noProof/>
        </w:rPr>
        <w:drawing>
          <wp:inline distT="0" distB="0" distL="0" distR="0" wp14:anchorId="52FA2547" wp14:editId="6174F47A">
            <wp:extent cx="5343525" cy="24003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FA1764" w14:textId="6C1023C7" w:rsidR="002E0EF9" w:rsidRDefault="005974E1" w:rsidP="000B3E45">
      <w:pPr>
        <w:pStyle w:val="Caption"/>
      </w:pPr>
      <w:r>
        <w:t>Figure 3</w:t>
      </w:r>
      <w:r w:rsidR="002E0EF9">
        <w:t>: Re</w:t>
      </w:r>
      <w:r w:rsidR="000B3E45">
        <w:t>spondents by area of origin</w:t>
      </w:r>
    </w:p>
    <w:p w14:paraId="3E0929A2" w14:textId="77777777" w:rsidR="000B3E45" w:rsidRPr="000B3E45" w:rsidRDefault="000B3E45" w:rsidP="000B3E45">
      <w:pPr>
        <w:rPr>
          <w:lang w:val="en-AU"/>
        </w:rPr>
      </w:pPr>
    </w:p>
    <w:p w14:paraId="5C16CE54" w14:textId="7AAEEF95" w:rsidR="005974E1" w:rsidRDefault="002E1104" w:rsidP="005974E1">
      <w:pPr>
        <w:rPr>
          <w:lang w:val="en-AU"/>
        </w:rPr>
      </w:pPr>
      <w:r>
        <w:rPr>
          <w:noProof/>
        </w:rPr>
        <mc:AlternateContent>
          <mc:Choice Requires="cx1">
            <w:drawing>
              <wp:anchor distT="0" distB="0" distL="114300" distR="114300" simplePos="0" relativeHeight="251679744" behindDoc="1" locked="0" layoutInCell="1" allowOverlap="1" wp14:anchorId="0399412E" wp14:editId="1344AB41">
                <wp:simplePos x="0" y="0"/>
                <wp:positionH relativeFrom="column">
                  <wp:posOffset>-251460</wp:posOffset>
                </wp:positionH>
                <wp:positionV relativeFrom="paragraph">
                  <wp:posOffset>299085</wp:posOffset>
                </wp:positionV>
                <wp:extent cx="4309745" cy="2225040"/>
                <wp:effectExtent l="0" t="0" r="14605" b="3810"/>
                <wp:wrapTight wrapText="bothSides">
                  <wp:wrapPolygon edited="0">
                    <wp:start x="0" y="0"/>
                    <wp:lineTo x="0" y="21452"/>
                    <wp:lineTo x="21578" y="21452"/>
                    <wp:lineTo x="21578" y="0"/>
                    <wp:lineTo x="0" y="0"/>
                  </wp:wrapPolygon>
                </wp:wrapTight>
                <wp:docPr id="28" name="Chart 2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79744" behindDoc="1" locked="0" layoutInCell="1" allowOverlap="1" wp14:anchorId="0399412E" wp14:editId="1344AB41">
                <wp:simplePos x="0" y="0"/>
                <wp:positionH relativeFrom="column">
                  <wp:posOffset>-251460</wp:posOffset>
                </wp:positionH>
                <wp:positionV relativeFrom="paragraph">
                  <wp:posOffset>299085</wp:posOffset>
                </wp:positionV>
                <wp:extent cx="4309745" cy="2225040"/>
                <wp:effectExtent l="0" t="0" r="14605" b="3810"/>
                <wp:wrapTight wrapText="bothSides">
                  <wp:wrapPolygon edited="0">
                    <wp:start x="0" y="0"/>
                    <wp:lineTo x="0" y="21452"/>
                    <wp:lineTo x="21578" y="21452"/>
                    <wp:lineTo x="21578" y="0"/>
                    <wp:lineTo x="0" y="0"/>
                  </wp:wrapPolygon>
                </wp:wrapTight>
                <wp:docPr id="28" name="Chart 2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8" name="Chart 28"/>
                        <pic:cNvPicPr>
                          <a:picLocks noGrp="1" noRot="1" noChangeAspect="1" noMove="1" noResize="1" noEditPoints="1" noAdjustHandles="1" noChangeArrowheads="1" noChangeShapeType="1"/>
                        </pic:cNvPicPr>
                      </pic:nvPicPr>
                      <pic:blipFill>
                        <a:blip r:embed="rId23"/>
                        <a:stretch>
                          <a:fillRect/>
                        </a:stretch>
                      </pic:blipFill>
                      <pic:spPr>
                        <a:xfrm>
                          <a:off x="0" y="0"/>
                          <a:ext cx="4309745" cy="22250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lang w:val="en-AU"/>
        </w:rPr>
        <w:t>The majo</w:t>
      </w:r>
      <w:r w:rsidR="005974E1">
        <w:rPr>
          <w:lang w:val="en-AU"/>
        </w:rPr>
        <w:t>rity of respondents were men (69.</w:t>
      </w:r>
      <w:r>
        <w:rPr>
          <w:lang w:val="en-AU"/>
        </w:rPr>
        <w:t>75%) and are 40 years or older. By interviewing heads of the household, we expected to interview more men than women. For the same reason, the assumption was that 41-60 years old would represent the largest age category. The fact that heads of the h</w:t>
      </w:r>
      <w:r w:rsidR="005974E1">
        <w:rPr>
          <w:lang w:val="en-AU"/>
        </w:rPr>
        <w:t>ousehold are often older, the 8.</w:t>
      </w:r>
      <w:r>
        <w:rPr>
          <w:lang w:val="en-AU"/>
        </w:rPr>
        <w:t xml:space="preserve">50%, categorized as young is perhaps a low percentage, but </w:t>
      </w:r>
      <w:r w:rsidR="005974E1">
        <w:rPr>
          <w:rStyle w:val="CaptionChar"/>
        </w:rPr>
        <w:t>Figure 4</w:t>
      </w:r>
      <w:r w:rsidR="005974E1" w:rsidRPr="005974E1">
        <w:rPr>
          <w:rStyle w:val="CaptionChar"/>
        </w:rPr>
        <w:t>: Age categories</w:t>
      </w:r>
    </w:p>
    <w:p w14:paraId="5CC1A2D0" w14:textId="4A90C45F" w:rsidR="002E1104" w:rsidRPr="002E1104" w:rsidRDefault="002E1104" w:rsidP="002E1104">
      <w:pPr>
        <w:rPr>
          <w:lang w:val="en-AU"/>
        </w:rPr>
      </w:pPr>
      <w:r>
        <w:rPr>
          <w:lang w:val="en-AU"/>
        </w:rPr>
        <w:lastRenderedPageBreak/>
        <w:t>still a good representation of the younger Ahmadiyya population for this research.</w:t>
      </w:r>
    </w:p>
    <w:p w14:paraId="2DF1B129" w14:textId="70E848B3" w:rsidR="005974E1" w:rsidRPr="005974E1" w:rsidRDefault="005974E1" w:rsidP="005974E1">
      <w:pPr>
        <w:rPr>
          <w:lang w:val="en-AU"/>
        </w:rPr>
      </w:pPr>
      <w:r w:rsidRPr="005974E1">
        <w:rPr>
          <w:lang w:val="en-AU"/>
        </w:rPr>
        <w:t xml:space="preserve">The majority of respondents, 39.75%, completed a high school education. Respondents with elementary school education and those </w:t>
      </w:r>
      <w:r>
        <w:rPr>
          <w:lang w:val="en-AU"/>
        </w:rPr>
        <w:t>without a primary school degree</w:t>
      </w:r>
      <w:r w:rsidRPr="005974E1">
        <w:rPr>
          <w:lang w:val="en-AU"/>
        </w:rPr>
        <w:t xml:space="preserve"> constituted 39.25% of respondents. </w:t>
      </w:r>
    </w:p>
    <w:p w14:paraId="4BF5B71D" w14:textId="4584A903" w:rsidR="002E1104" w:rsidRDefault="002E1104" w:rsidP="002E1104">
      <w:r>
        <w:t xml:space="preserve">The level of income of the majority of the interviewed </w:t>
      </w:r>
      <w:r w:rsidR="005974E1">
        <w:t>Ahmadiyya households is below 2.</w:t>
      </w:r>
      <w:r>
        <w:t>6 million IDR (Indonesian Ru</w:t>
      </w:r>
      <w:r w:rsidR="005974E1">
        <w:t>piah). This is considered lower-</w:t>
      </w:r>
      <w:r>
        <w:t>middle class income in Indonesia.</w:t>
      </w:r>
      <w:r>
        <w:rPr>
          <w:rStyle w:val="FootnoteReference"/>
        </w:rPr>
        <w:footnoteReference w:id="9"/>
      </w:r>
      <w:r>
        <w:t xml:space="preserve"> Income is defined by the sum up of every household member contributing to the family income, including direct of kin not living in the house. Everything above 6 million IDR is considered as a high income.</w:t>
      </w:r>
    </w:p>
    <w:p w14:paraId="23FF77D1" w14:textId="42CF09C6" w:rsidR="001F56B3" w:rsidRDefault="001F56B3" w:rsidP="00765994"/>
    <w:p w14:paraId="1AA4474C" w14:textId="77777777" w:rsidR="001F56B3" w:rsidRDefault="001F56B3" w:rsidP="00765994">
      <w:r>
        <w:rPr>
          <w:noProof/>
        </w:rPr>
        <w:drawing>
          <wp:inline distT="0" distB="0" distL="0" distR="0" wp14:anchorId="60AAE494" wp14:editId="170FEDE4">
            <wp:extent cx="5571461" cy="1775637"/>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A168B0" w14:textId="0D91F83F" w:rsidR="000B3E45" w:rsidRDefault="001F56B3" w:rsidP="000B3E45">
      <w:pPr>
        <w:pStyle w:val="Caption"/>
      </w:pPr>
      <w:r>
        <w:t>Figu</w:t>
      </w:r>
      <w:r w:rsidR="005974E1">
        <w:t>re 5</w:t>
      </w:r>
      <w:r w:rsidR="000B3E45">
        <w:t>: Level of household income</w:t>
      </w:r>
    </w:p>
    <w:p w14:paraId="20FD6F60" w14:textId="77777777" w:rsidR="000B3E45" w:rsidRPr="000B3E45" w:rsidRDefault="000B3E45" w:rsidP="000B3E45">
      <w:pPr>
        <w:rPr>
          <w:lang w:val="en-AU"/>
        </w:rPr>
      </w:pPr>
    </w:p>
    <w:p w14:paraId="4083B9BC" w14:textId="6C9A2ACE" w:rsidR="008D1D1B" w:rsidRDefault="002E1104" w:rsidP="00765994">
      <w:r>
        <w:t>A significant number (75%) of Ahmadiyya have been living in their village for more than 12 years. More than 80% answered that they have identified as Ahmadiyya since birth or childhood. Interestingly, 15% answered that they became Ahmadiyya after they turned</w:t>
      </w:r>
      <w:r w:rsidR="005974E1">
        <w:t xml:space="preserve"> </w:t>
      </w:r>
      <w:r>
        <w:t>18 years old.</w:t>
      </w:r>
    </w:p>
    <w:p w14:paraId="187943C1" w14:textId="77777777" w:rsidR="008D1D1B" w:rsidRDefault="008D1D1B" w:rsidP="00765994"/>
    <w:p w14:paraId="7F291083" w14:textId="77777777" w:rsidR="008D1D1B" w:rsidRDefault="008D1D1B" w:rsidP="00765994"/>
    <w:p w14:paraId="656B63C7" w14:textId="77777777" w:rsidR="008D1D1B" w:rsidRDefault="008D1D1B" w:rsidP="00765994"/>
    <w:p w14:paraId="63DFC29A" w14:textId="77777777" w:rsidR="008D1D1B" w:rsidRDefault="008D1D1B" w:rsidP="00765994"/>
    <w:p w14:paraId="5A14B843" w14:textId="595614BC" w:rsidR="008D1D1B" w:rsidRDefault="008D1D1B" w:rsidP="00765994"/>
    <w:p w14:paraId="67EDB74E" w14:textId="77777777" w:rsidR="00765994" w:rsidRDefault="00765994" w:rsidP="00765994">
      <w:pPr>
        <w:pStyle w:val="Heading1"/>
      </w:pPr>
      <w:bookmarkStart w:id="13" w:name="_Toc477294866"/>
      <w:r>
        <w:lastRenderedPageBreak/>
        <w:t>Experience of Discrimination</w:t>
      </w:r>
      <w:bookmarkEnd w:id="13"/>
    </w:p>
    <w:p w14:paraId="2571FC07" w14:textId="77777777" w:rsidR="002E1104" w:rsidRDefault="002E1104" w:rsidP="002E1104">
      <w:r>
        <w:t>For the purposes of this research, we focus on religious discrimination, which the United Nations defines as:</w:t>
      </w:r>
    </w:p>
    <w:p w14:paraId="3FDC6019" w14:textId="77777777" w:rsidR="006418DD" w:rsidRPr="005E0830" w:rsidRDefault="005E0830" w:rsidP="005E0830">
      <w:pPr>
        <w:pBdr>
          <w:top w:val="single" w:sz="4" w:space="1" w:color="auto"/>
          <w:left w:val="single" w:sz="4" w:space="4" w:color="auto"/>
          <w:bottom w:val="single" w:sz="4" w:space="1" w:color="auto"/>
          <w:right w:val="single" w:sz="4" w:space="4" w:color="auto"/>
        </w:pBdr>
        <w:rPr>
          <w:i/>
          <w:lang w:val="en-GB"/>
        </w:rPr>
      </w:pPr>
      <w:r>
        <w:t xml:space="preserve"> </w:t>
      </w:r>
      <w:r w:rsidRPr="005E0830">
        <w:rPr>
          <w:i/>
        </w:rPr>
        <w:t>“[…] Any distinction, exclusion or restriction based on religious origin which is limiting the religious minority in their access to public services and protection. Even in extremer cases when it leads to being arrested, violent attacks towards the religious minority group or killed due to their religious belief”.</w:t>
      </w:r>
      <w:r>
        <w:rPr>
          <w:rStyle w:val="FootnoteReference"/>
          <w:i/>
        </w:rPr>
        <w:footnoteReference w:id="10"/>
      </w:r>
    </w:p>
    <w:p w14:paraId="72E03D92" w14:textId="315A794E" w:rsidR="00C15E76" w:rsidRDefault="00C15E76" w:rsidP="00C15E76">
      <w:r>
        <w:t>Within this defin</w:t>
      </w:r>
      <w:r w:rsidR="004950B0">
        <w:t>ition our research is focused</w:t>
      </w:r>
      <w:r>
        <w:t xml:space="preserve"> on the access to public services and protection, and the experience of violence is explained in a later chapter. We examine to what extent Ahmadis feel discriminated, because of their Ahmadiyya religion. The survey also explores to what extent the Ahmadiyya can express their beliefs outside their home and if there are worshipping places available in their residential area.</w:t>
      </w:r>
    </w:p>
    <w:p w14:paraId="1BDD9EC4" w14:textId="77777777" w:rsidR="004950B0" w:rsidRDefault="004950B0" w:rsidP="00F446C2">
      <w:r w:rsidRPr="004950B0">
        <w:t xml:space="preserve">Approximately 20% of respondents indicated that during the last five years, they, or a household member, felt discriminated against “often” or “always”. Almost 40% answered the same question with “sometimes/seldom”.  Among the respondents who felt discriminated, Ahmadis with a lower education and a lower income felt more discriminated. The data shows that when the income </w:t>
      </w:r>
      <w:r>
        <w:t xml:space="preserve">of the household is higher, </w:t>
      </w:r>
      <w:r w:rsidRPr="004950B0">
        <w:t xml:space="preserve">there is a tendency to feel less discrimination.  </w:t>
      </w:r>
      <w:r w:rsidRPr="004950B0">
        <w:rPr>
          <w:lang w:val="en-GB"/>
        </w:rPr>
        <w:t>62.96% of respondents who have an income above IDR 6,000,001 declared that they never felt discriminated compared to 32.28%</w:t>
      </w:r>
      <w:r>
        <w:rPr>
          <w:lang w:val="en-GB"/>
        </w:rPr>
        <w:t xml:space="preserve"> </w:t>
      </w:r>
      <w:r w:rsidRPr="004950B0">
        <w:rPr>
          <w:lang w:val="en-GB"/>
        </w:rPr>
        <w:t>of respondents whose income was below IDR 2,600,000. In the income range from IDR 2,600,001 and IDR 6,000,000, the percentage of respondents who never felt discriminated against was 47%.</w:t>
      </w:r>
      <w:r w:rsidRPr="004950B0">
        <w:t xml:space="preserve"> </w:t>
      </w:r>
    </w:p>
    <w:p w14:paraId="6D15C13D" w14:textId="6B478928" w:rsidR="00841C58" w:rsidRDefault="004950B0" w:rsidP="00F446C2">
      <w:r>
        <w:t>73% of the respondents</w:t>
      </w:r>
      <w:r w:rsidR="0002131E">
        <w:t xml:space="preserve"> between the age of 18-</w:t>
      </w:r>
      <w:r>
        <w:t>25,</w:t>
      </w:r>
      <w:r w:rsidR="0002131E">
        <w:t xml:space="preserve"> have felt discriminated in the last five years, and 66% for the age group of 26-40. In the oldest</w:t>
      </w:r>
      <w:r>
        <w:t xml:space="preserve"> age group above</w:t>
      </w:r>
      <w:r w:rsidR="007C1E41">
        <w:t xml:space="preserve"> 41, only 14% </w:t>
      </w:r>
      <w:r w:rsidR="0002131E">
        <w:t xml:space="preserve">ever </w:t>
      </w:r>
      <w:r w:rsidR="007C1E41">
        <w:t xml:space="preserve">felt </w:t>
      </w:r>
      <w:r w:rsidR="0002131E">
        <w:t>discriminated</w:t>
      </w:r>
      <w:r w:rsidR="007C1E41">
        <w:t xml:space="preserve"> in the last five years</w:t>
      </w:r>
      <w:r w:rsidR="0002131E">
        <w:t>.</w:t>
      </w:r>
    </w:p>
    <w:tbl>
      <w:tblPr>
        <w:tblStyle w:val="GridTable4-Accent1"/>
        <w:tblW w:w="0" w:type="auto"/>
        <w:tblLook w:val="04A0" w:firstRow="1" w:lastRow="0" w:firstColumn="1" w:lastColumn="0" w:noHBand="0" w:noVBand="1"/>
      </w:tblPr>
      <w:tblGrid>
        <w:gridCol w:w="3209"/>
        <w:gridCol w:w="3210"/>
        <w:gridCol w:w="3210"/>
      </w:tblGrid>
      <w:tr w:rsidR="00184AD1" w14:paraId="3CF80927" w14:textId="77777777" w:rsidTr="005E5FF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629" w:type="dxa"/>
            <w:gridSpan w:val="3"/>
            <w:vAlign w:val="bottom"/>
          </w:tcPr>
          <w:p w14:paraId="79D75184" w14:textId="5F491F27" w:rsidR="00184AD1" w:rsidRPr="005E5FFC" w:rsidRDefault="005E5FFC" w:rsidP="005E5FFC">
            <w:pPr>
              <w:jc w:val="center"/>
              <w:rPr>
                <w:sz w:val="20"/>
              </w:rPr>
            </w:pPr>
            <w:r w:rsidRPr="005E5FFC">
              <w:rPr>
                <w:sz w:val="20"/>
              </w:rPr>
              <w:t>Percentage of having felt discriminated in the last five years</w:t>
            </w:r>
          </w:p>
          <w:p w14:paraId="0A320BB6" w14:textId="0D06EE6E" w:rsidR="005E5FFC" w:rsidRDefault="005E5FFC" w:rsidP="005E5FFC">
            <w:r w:rsidRPr="005E5FFC">
              <w:rPr>
                <w:sz w:val="20"/>
              </w:rPr>
              <w:t xml:space="preserve">                                     </w:t>
            </w:r>
            <w:r>
              <w:rPr>
                <w:sz w:val="20"/>
              </w:rPr>
              <w:t xml:space="preserve">                         Women</w:t>
            </w:r>
            <w:r w:rsidRPr="005E5FFC">
              <w:rPr>
                <w:sz w:val="20"/>
              </w:rPr>
              <w:t xml:space="preserve">                     </w:t>
            </w:r>
            <w:r>
              <w:rPr>
                <w:sz w:val="20"/>
              </w:rPr>
              <w:t xml:space="preserve">                          Men</w:t>
            </w:r>
          </w:p>
        </w:tc>
      </w:tr>
      <w:tr w:rsidR="005E5FFC" w14:paraId="7210172F" w14:textId="77777777" w:rsidTr="005E5FF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09" w:type="dxa"/>
          </w:tcPr>
          <w:p w14:paraId="0FCEB7E4" w14:textId="7AE9141E" w:rsidR="005E5FFC" w:rsidRPr="005E5FFC" w:rsidRDefault="005E5FFC" w:rsidP="00F446C2">
            <w:pPr>
              <w:rPr>
                <w:sz w:val="20"/>
              </w:rPr>
            </w:pPr>
            <w:r w:rsidRPr="005E5FFC">
              <w:rPr>
                <w:sz w:val="20"/>
              </w:rPr>
              <w:t>Always</w:t>
            </w:r>
          </w:p>
        </w:tc>
        <w:tc>
          <w:tcPr>
            <w:tcW w:w="3210" w:type="dxa"/>
          </w:tcPr>
          <w:p w14:paraId="08716599" w14:textId="281B1E85" w:rsidR="005E5FFC" w:rsidRDefault="00737861" w:rsidP="00F446C2">
            <w:pPr>
              <w:cnfStyle w:val="000000100000" w:firstRow="0" w:lastRow="0" w:firstColumn="0" w:lastColumn="0" w:oddVBand="0" w:evenVBand="0" w:oddHBand="1" w:evenHBand="0" w:firstRowFirstColumn="0" w:firstRowLastColumn="0" w:lastRowFirstColumn="0" w:lastRowLastColumn="0"/>
            </w:pPr>
            <w:r>
              <w:t>8.</w:t>
            </w:r>
            <w:r w:rsidR="005E5FFC">
              <w:t>13%</w:t>
            </w:r>
          </w:p>
        </w:tc>
        <w:tc>
          <w:tcPr>
            <w:tcW w:w="3210" w:type="dxa"/>
          </w:tcPr>
          <w:p w14:paraId="015341CD" w14:textId="3AA5F90F" w:rsidR="005E5FFC" w:rsidRDefault="00737861" w:rsidP="00F446C2">
            <w:pPr>
              <w:cnfStyle w:val="000000100000" w:firstRow="0" w:lastRow="0" w:firstColumn="0" w:lastColumn="0" w:oddVBand="0" w:evenVBand="0" w:oddHBand="1" w:evenHBand="0" w:firstRowFirstColumn="0" w:firstRowLastColumn="0" w:lastRowFirstColumn="0" w:lastRowLastColumn="0"/>
            </w:pPr>
            <w:r>
              <w:t>6.</w:t>
            </w:r>
            <w:r w:rsidR="005E5FFC">
              <w:t>86%</w:t>
            </w:r>
          </w:p>
        </w:tc>
      </w:tr>
      <w:tr w:rsidR="00184AD1" w14:paraId="636C7493" w14:textId="77777777" w:rsidTr="005E5FFC">
        <w:trPr>
          <w:trHeight w:val="288"/>
        </w:trPr>
        <w:tc>
          <w:tcPr>
            <w:cnfStyle w:val="001000000000" w:firstRow="0" w:lastRow="0" w:firstColumn="1" w:lastColumn="0" w:oddVBand="0" w:evenVBand="0" w:oddHBand="0" w:evenHBand="0" w:firstRowFirstColumn="0" w:firstRowLastColumn="0" w:lastRowFirstColumn="0" w:lastRowLastColumn="0"/>
            <w:tcW w:w="3209" w:type="dxa"/>
          </w:tcPr>
          <w:p w14:paraId="79175BEA" w14:textId="1775F504" w:rsidR="00184AD1" w:rsidRPr="005E5FFC" w:rsidRDefault="005E5FFC" w:rsidP="00F446C2">
            <w:pPr>
              <w:rPr>
                <w:sz w:val="20"/>
              </w:rPr>
            </w:pPr>
            <w:r w:rsidRPr="005E5FFC">
              <w:rPr>
                <w:sz w:val="20"/>
              </w:rPr>
              <w:t>Often</w:t>
            </w:r>
          </w:p>
        </w:tc>
        <w:tc>
          <w:tcPr>
            <w:tcW w:w="3210" w:type="dxa"/>
          </w:tcPr>
          <w:p w14:paraId="102E1B1E" w14:textId="6AEA2FF9" w:rsidR="00184AD1" w:rsidRDefault="00737861" w:rsidP="00F446C2">
            <w:pPr>
              <w:cnfStyle w:val="000000000000" w:firstRow="0" w:lastRow="0" w:firstColumn="0" w:lastColumn="0" w:oddVBand="0" w:evenVBand="0" w:oddHBand="0" w:evenHBand="0" w:firstRowFirstColumn="0" w:firstRowLastColumn="0" w:lastRowFirstColumn="0" w:lastRowLastColumn="0"/>
            </w:pPr>
            <w:r>
              <w:t>15.</w:t>
            </w:r>
            <w:r w:rsidR="005E5FFC">
              <w:t>45%</w:t>
            </w:r>
          </w:p>
        </w:tc>
        <w:tc>
          <w:tcPr>
            <w:tcW w:w="3210" w:type="dxa"/>
          </w:tcPr>
          <w:p w14:paraId="53D31228" w14:textId="2E81EAAA" w:rsidR="00184AD1" w:rsidRDefault="00737861" w:rsidP="00F446C2">
            <w:pPr>
              <w:cnfStyle w:val="000000000000" w:firstRow="0" w:lastRow="0" w:firstColumn="0" w:lastColumn="0" w:oddVBand="0" w:evenVBand="0" w:oddHBand="0" w:evenHBand="0" w:firstRowFirstColumn="0" w:firstRowLastColumn="0" w:lastRowFirstColumn="0" w:lastRowLastColumn="0"/>
            </w:pPr>
            <w:r>
              <w:t>10.</w:t>
            </w:r>
            <w:r w:rsidR="005E5FFC">
              <w:t>47%</w:t>
            </w:r>
          </w:p>
        </w:tc>
      </w:tr>
      <w:tr w:rsidR="00184AD1" w14:paraId="157145ED" w14:textId="77777777" w:rsidTr="005E5FF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09" w:type="dxa"/>
          </w:tcPr>
          <w:p w14:paraId="52C128C2" w14:textId="3ECB8EAB" w:rsidR="00184AD1" w:rsidRPr="005E5FFC" w:rsidRDefault="005E5FFC" w:rsidP="00F446C2">
            <w:pPr>
              <w:rPr>
                <w:sz w:val="20"/>
              </w:rPr>
            </w:pPr>
            <w:r w:rsidRPr="005E5FFC">
              <w:rPr>
                <w:sz w:val="20"/>
              </w:rPr>
              <w:t>Sometimes/Seldom</w:t>
            </w:r>
          </w:p>
        </w:tc>
        <w:tc>
          <w:tcPr>
            <w:tcW w:w="3210" w:type="dxa"/>
          </w:tcPr>
          <w:p w14:paraId="57456FE5" w14:textId="17426902" w:rsidR="00184AD1" w:rsidRDefault="00737861" w:rsidP="00F446C2">
            <w:pPr>
              <w:cnfStyle w:val="000000100000" w:firstRow="0" w:lastRow="0" w:firstColumn="0" w:lastColumn="0" w:oddVBand="0" w:evenVBand="0" w:oddHBand="1" w:evenHBand="0" w:firstRowFirstColumn="0" w:firstRowLastColumn="0" w:lastRowFirstColumn="0" w:lastRowLastColumn="0"/>
            </w:pPr>
            <w:r>
              <w:t>41.</w:t>
            </w:r>
            <w:r w:rsidR="005E5FFC">
              <w:t>46%</w:t>
            </w:r>
          </w:p>
        </w:tc>
        <w:tc>
          <w:tcPr>
            <w:tcW w:w="3210" w:type="dxa"/>
          </w:tcPr>
          <w:p w14:paraId="1DE280BB" w14:textId="7F113117" w:rsidR="00184AD1" w:rsidRDefault="00737861" w:rsidP="00F446C2">
            <w:pPr>
              <w:cnfStyle w:val="000000100000" w:firstRow="0" w:lastRow="0" w:firstColumn="0" w:lastColumn="0" w:oddVBand="0" w:evenVBand="0" w:oddHBand="1" w:evenHBand="0" w:firstRowFirstColumn="0" w:firstRowLastColumn="0" w:lastRowFirstColumn="0" w:lastRowLastColumn="0"/>
            </w:pPr>
            <w:r>
              <w:t>38.</w:t>
            </w:r>
            <w:r w:rsidR="005E5FFC">
              <w:t>63%</w:t>
            </w:r>
          </w:p>
        </w:tc>
      </w:tr>
      <w:tr w:rsidR="00184AD1" w14:paraId="3C69EB0B" w14:textId="77777777" w:rsidTr="005E5FFC">
        <w:trPr>
          <w:trHeight w:val="288"/>
        </w:trPr>
        <w:tc>
          <w:tcPr>
            <w:cnfStyle w:val="001000000000" w:firstRow="0" w:lastRow="0" w:firstColumn="1" w:lastColumn="0" w:oddVBand="0" w:evenVBand="0" w:oddHBand="0" w:evenHBand="0" w:firstRowFirstColumn="0" w:firstRowLastColumn="0" w:lastRowFirstColumn="0" w:lastRowLastColumn="0"/>
            <w:tcW w:w="3209" w:type="dxa"/>
          </w:tcPr>
          <w:p w14:paraId="35944D38" w14:textId="6E877CD7" w:rsidR="00184AD1" w:rsidRPr="005E5FFC" w:rsidRDefault="005E5FFC" w:rsidP="00F446C2">
            <w:pPr>
              <w:rPr>
                <w:sz w:val="20"/>
              </w:rPr>
            </w:pPr>
            <w:r w:rsidRPr="005E5FFC">
              <w:rPr>
                <w:sz w:val="20"/>
              </w:rPr>
              <w:lastRenderedPageBreak/>
              <w:t>Total</w:t>
            </w:r>
          </w:p>
        </w:tc>
        <w:tc>
          <w:tcPr>
            <w:tcW w:w="3210" w:type="dxa"/>
          </w:tcPr>
          <w:p w14:paraId="1563390F" w14:textId="0E8DA69E" w:rsidR="00184AD1" w:rsidRDefault="00737861" w:rsidP="00F446C2">
            <w:pPr>
              <w:cnfStyle w:val="000000000000" w:firstRow="0" w:lastRow="0" w:firstColumn="0" w:lastColumn="0" w:oddVBand="0" w:evenVBand="0" w:oddHBand="0" w:evenHBand="0" w:firstRowFirstColumn="0" w:firstRowLastColumn="0" w:lastRowFirstColumn="0" w:lastRowLastColumn="0"/>
            </w:pPr>
            <w:r>
              <w:t>65.</w:t>
            </w:r>
            <w:r w:rsidR="005E5FFC">
              <w:t>04%</w:t>
            </w:r>
          </w:p>
        </w:tc>
        <w:tc>
          <w:tcPr>
            <w:tcW w:w="3210" w:type="dxa"/>
          </w:tcPr>
          <w:p w14:paraId="1A90B484" w14:textId="5FFACE55" w:rsidR="00184AD1" w:rsidRDefault="00737861" w:rsidP="00F446C2">
            <w:pPr>
              <w:cnfStyle w:val="000000000000" w:firstRow="0" w:lastRow="0" w:firstColumn="0" w:lastColumn="0" w:oddVBand="0" w:evenVBand="0" w:oddHBand="0" w:evenHBand="0" w:firstRowFirstColumn="0" w:firstRowLastColumn="0" w:lastRowFirstColumn="0" w:lastRowLastColumn="0"/>
            </w:pPr>
            <w:r>
              <w:t>55.</w:t>
            </w:r>
            <w:r w:rsidR="005E5FFC">
              <w:t>96%</w:t>
            </w:r>
          </w:p>
        </w:tc>
      </w:tr>
    </w:tbl>
    <w:p w14:paraId="6E023FA7" w14:textId="231E6DBB" w:rsidR="00184AD1" w:rsidRDefault="004950B0" w:rsidP="00413703">
      <w:pPr>
        <w:pStyle w:val="Caption"/>
      </w:pPr>
      <w:r>
        <w:rPr>
          <w:lang w:val="en-US"/>
        </w:rPr>
        <w:t>Figure 6</w:t>
      </w:r>
      <w:r w:rsidR="00413703">
        <w:t>: Distinction between men and women</w:t>
      </w:r>
      <w:r w:rsidR="000B3E45">
        <w:t xml:space="preserve"> or their family member</w:t>
      </w:r>
      <w:r w:rsidR="00413703">
        <w:t xml:space="preserve"> felt discriminated (in %)</w:t>
      </w:r>
    </w:p>
    <w:p w14:paraId="5D664F32" w14:textId="77777777" w:rsidR="000B3E45" w:rsidRDefault="000B3E45" w:rsidP="00F446C2"/>
    <w:p w14:paraId="1C63CD79" w14:textId="29C9FB59" w:rsidR="004950B0" w:rsidRPr="004950B0" w:rsidRDefault="004950B0" w:rsidP="004950B0">
      <w:r w:rsidRPr="004950B0">
        <w:t xml:space="preserve">Compare to their male counterparts, a larger portion of female respondents </w:t>
      </w:r>
      <w:r>
        <w:t>said</w:t>
      </w:r>
      <w:r w:rsidRPr="004950B0">
        <w:t xml:space="preserve"> they</w:t>
      </w:r>
      <w:r>
        <w:t xml:space="preserve"> or a family member</w:t>
      </w:r>
      <w:r w:rsidRPr="004950B0">
        <w:t xml:space="preserve"> experienced discrimination.  These finding were not echoed in the FGDs or the KIIs. Within the limitations of this study, it is difficult to draw conclusions as to why women may report more discrimination than men, or whether</w:t>
      </w:r>
      <w:r>
        <w:t xml:space="preserve"> this is specific to female Ahm</w:t>
      </w:r>
      <w:r w:rsidRPr="004950B0">
        <w:t>adis or reflects women in general.</w:t>
      </w:r>
    </w:p>
    <w:p w14:paraId="3BCE619D" w14:textId="77777777" w:rsidR="004950B0" w:rsidRPr="004950B0" w:rsidRDefault="004950B0" w:rsidP="004950B0">
      <w:r w:rsidRPr="004950B0">
        <w:t>Although caution should be taken in drawing conclusions around how Ahmadis from different areas experience discrimination because of the sampling method, it is interesting to note that there were higher rates of respondents that reported experiencing discrimination in Kuningan, Tasikmalaya and Sukabumi. Overall, the largest proportion of respondents who reported discrimination was from Kuningan.</w:t>
      </w:r>
    </w:p>
    <w:p w14:paraId="7783A8E3" w14:textId="49B043B5" w:rsidR="004950B0" w:rsidRPr="004950B0" w:rsidRDefault="004950B0" w:rsidP="004950B0">
      <w:pPr>
        <w:rPr>
          <w:lang w:val="en-GB"/>
        </w:rPr>
      </w:pPr>
      <w:r w:rsidRPr="004950B0">
        <w:t xml:space="preserve">Information from the FGDs </w:t>
      </w:r>
      <w:r w:rsidRPr="004950B0">
        <w:rPr>
          <w:lang w:val="en-GB"/>
        </w:rPr>
        <w:t>indicated the existence of discrimination in schools against Ahmadiyya students and teachers. Some of the Ahmadiyya teachers have been removed to different schools in more remote areas, without a clear explanation. Students who openly identified themselves as being Ahmadiyya felt their teachers treated them differently</w:t>
      </w:r>
      <w:r w:rsidR="007C1E41">
        <w:rPr>
          <w:lang w:val="en-GB"/>
        </w:rPr>
        <w:t>, further resonating in</w:t>
      </w:r>
      <w:r w:rsidRPr="004950B0">
        <w:rPr>
          <w:lang w:val="en-GB"/>
        </w:rPr>
        <w:t xml:space="preserve"> lower school grades. Students sometimes felt they were discriminated against because they were not allowed by their teachers to go to Friday prayers in their own mosque.</w:t>
      </w:r>
    </w:p>
    <w:p w14:paraId="2FBC947F" w14:textId="77777777" w:rsidR="003014CF" w:rsidRDefault="003014CF" w:rsidP="003014CF">
      <w:pPr>
        <w:pStyle w:val="Heading2"/>
      </w:pPr>
      <w:bookmarkStart w:id="14" w:name="_Toc477294867"/>
      <w:r>
        <w:t>Worshipping places</w:t>
      </w:r>
      <w:bookmarkEnd w:id="14"/>
    </w:p>
    <w:p w14:paraId="70999C3C" w14:textId="6435F9E8" w:rsidR="003014CF" w:rsidRDefault="007C1E41" w:rsidP="003014CF">
      <w:r>
        <w:t>According to 75% of our respondents, there is at least one house of worship in their residential area. Depok is the area with the fewest</w:t>
      </w:r>
      <w:r w:rsidRPr="00F446C2">
        <w:t xml:space="preserve"> worshi</w:t>
      </w:r>
      <w:r>
        <w:t>p places in the residential area</w:t>
      </w:r>
      <w:r w:rsidRPr="00F446C2">
        <w:t xml:space="preserve"> (71.88% of Depok respondents declared t</w:t>
      </w:r>
      <w:r>
        <w:t>here is no house of worship in their residential area). 43.75% of the respondents in Sukabumi declared there is no worshipping building in their residential area. In Bogor that number is 37.50%. In Depok, there is only one house of worship and some of the respondents are living far away from it. However, the study has also shown that not having a place of worship is not always considered to be a problem. In Depok, where there are fewer Ahmadis, a place of worship is not considered to be pertinent.  Nevertheless, if the only worship building is closed by the police and the local administration, the impact of that action on the Ahmadiyya community in that area is great. In February 2017, this happened in Depok after a rally of</w:t>
      </w:r>
      <w:r w:rsidR="003E15D5">
        <w:t xml:space="preserve"> Hardline Muslim groups. Since 2011, the </w:t>
      </w:r>
      <w:r w:rsidR="00C96D12">
        <w:t xml:space="preserve">worship </w:t>
      </w:r>
      <w:r w:rsidR="003E15D5">
        <w:t>building</w:t>
      </w:r>
      <w:r w:rsidR="00C96D12">
        <w:t xml:space="preserve"> in Depok has been closed </w:t>
      </w:r>
      <w:r w:rsidR="003E15D5">
        <w:t>six times.</w:t>
      </w:r>
    </w:p>
    <w:p w14:paraId="500B8A4E" w14:textId="63CA4A4A" w:rsidR="007C6A78" w:rsidRPr="003014CF" w:rsidRDefault="007C6A78" w:rsidP="003014CF">
      <w:r>
        <w:t xml:space="preserve">Although not every Ahmadiyya is able to go to a worshipping place in its own residential area, the majority of them </w:t>
      </w:r>
      <w:r w:rsidRPr="007C6A78">
        <w:t xml:space="preserve">agree they can express their religion </w:t>
      </w:r>
      <w:r w:rsidR="001E5D81">
        <w:t xml:space="preserve">freely </w:t>
      </w:r>
      <w:r w:rsidRPr="007C6A78">
        <w:t>outside of their home</w:t>
      </w:r>
      <w:r w:rsidR="00C96D12">
        <w:t>s</w:t>
      </w:r>
      <w:r w:rsidRPr="007C6A78">
        <w:t xml:space="preserve"> (in total 87.75% agree or strongly agree).</w:t>
      </w:r>
    </w:p>
    <w:p w14:paraId="65C5AA60" w14:textId="77777777" w:rsidR="00C06D98" w:rsidRDefault="007C6A78" w:rsidP="007C6A78">
      <w:pPr>
        <w:pStyle w:val="Heading2"/>
      </w:pPr>
      <w:bookmarkStart w:id="15" w:name="_Toc477294868"/>
      <w:r>
        <w:lastRenderedPageBreak/>
        <w:t>Services</w:t>
      </w:r>
      <w:bookmarkEnd w:id="15"/>
    </w:p>
    <w:p w14:paraId="12C19334" w14:textId="1C20143B" w:rsidR="00C96D12" w:rsidRDefault="00E1152D" w:rsidP="00C96D12">
      <w:r>
        <w:t>The</w:t>
      </w:r>
      <w:r w:rsidR="00B96C6F">
        <w:t xml:space="preserve"> survey found that almost 60% of the</w:t>
      </w:r>
      <w:r>
        <w:t xml:space="preserve"> respondents </w:t>
      </w:r>
      <w:r w:rsidR="00C96D12">
        <w:t>or</w:t>
      </w:r>
      <w:r w:rsidR="00B96C6F">
        <w:t xml:space="preserve"> family member</w:t>
      </w:r>
      <w:r w:rsidR="00C96D12">
        <w:t>s</w:t>
      </w:r>
      <w:r w:rsidR="00B96C6F">
        <w:t xml:space="preserve"> </w:t>
      </w:r>
      <w:r>
        <w:t>never felt discriminated as an Ahmadiyya when</w:t>
      </w:r>
      <w:r w:rsidR="00C96D12">
        <w:t xml:space="preserve"> accessing public services. Figure 7</w:t>
      </w:r>
      <w:r>
        <w:t xml:space="preserve">, </w:t>
      </w:r>
      <w:r w:rsidR="00C96D12" w:rsidRPr="00C96D12">
        <w:t>presents the ease in access to services among respondents that reported having experienced discrimination in accessing public services. Th</w:t>
      </w:r>
      <w:r w:rsidR="00C96D12">
        <w:t>is</w:t>
      </w:r>
      <w:r w:rsidR="00C96D12" w:rsidRPr="00C96D12">
        <w:t xml:space="preserve"> constitutes 40%</w:t>
      </w:r>
      <w:r w:rsidR="00C96D12">
        <w:t xml:space="preserve"> of the total respondents </w:t>
      </w:r>
      <w:r w:rsidR="00C96D12" w:rsidRPr="00C96D12">
        <w:t>and the Figure below shows ease of access to different services.</w:t>
      </w:r>
    </w:p>
    <w:p w14:paraId="15B4D50E" w14:textId="0B8ACFC4" w:rsidR="00C96D12" w:rsidRPr="00C96D12" w:rsidRDefault="00C96D12" w:rsidP="00C96D12">
      <w:r w:rsidRPr="00C96D12">
        <w:t xml:space="preserve">Health services, free education and services from neighbourhood leaders (which has to provide recommendation letters for ID card and marriage certificates for instance) </w:t>
      </w:r>
      <w:r>
        <w:t xml:space="preserve">are </w:t>
      </w:r>
      <w:r w:rsidRPr="00C96D12">
        <w:t xml:space="preserve">relatively the most accessible services. Women are more likely to have experienced discrimination than men in accessing public services. </w:t>
      </w:r>
      <w:r>
        <w:t xml:space="preserve">Also, Ahmadis in the age group of 25-40 experience more discrimination, compared to the other age groups. </w:t>
      </w:r>
      <w:r w:rsidRPr="00C96D12">
        <w:t>The following three public services are perceived by male and female Ahmadiyya as the most difficult to access (the percentages are higher for women than for men):</w:t>
      </w:r>
    </w:p>
    <w:p w14:paraId="673A7555" w14:textId="77777777" w:rsidR="00813D65" w:rsidRDefault="00813D65" w:rsidP="00813D65">
      <w:pPr>
        <w:ind w:firstLine="720"/>
      </w:pPr>
      <w:r>
        <w:t>1. Registering marriage at the office of Religious Affairs</w:t>
      </w:r>
    </w:p>
    <w:p w14:paraId="48B43AC9" w14:textId="65296631" w:rsidR="00813D65" w:rsidRDefault="00813D65" w:rsidP="00813D65">
      <w:pPr>
        <w:ind w:firstLine="720"/>
      </w:pPr>
      <w:r>
        <w:t xml:space="preserve">2. </w:t>
      </w:r>
      <w:r w:rsidR="00C96D12">
        <w:t xml:space="preserve">Population registration services </w:t>
      </w:r>
      <w:r w:rsidR="00C96D12" w:rsidRPr="009176AA">
        <w:t xml:space="preserve">provided by the Civil </w:t>
      </w:r>
      <w:r w:rsidR="00C96D12">
        <w:t xml:space="preserve">Population </w:t>
      </w:r>
      <w:r w:rsidR="00C96D12" w:rsidRPr="009176AA">
        <w:t>Registration Office</w:t>
      </w:r>
    </w:p>
    <w:p w14:paraId="47B8572F" w14:textId="6CF4AA47" w:rsidR="00813D65" w:rsidRDefault="00813D65" w:rsidP="00C96D12">
      <w:pPr>
        <w:ind w:left="720"/>
      </w:pPr>
      <w:r>
        <w:t>3. Village sub-district officials</w:t>
      </w:r>
      <w:r w:rsidRPr="009176AA">
        <w:t xml:space="preserve"> providing their services in the process of obtaining IDs, family card, marriage certificates, etc</w:t>
      </w:r>
      <w:r w:rsidR="00C96D12">
        <w:t>.</w:t>
      </w:r>
    </w:p>
    <w:p w14:paraId="2E1F07D5" w14:textId="77777777" w:rsidR="00765994" w:rsidRDefault="00AD4A50" w:rsidP="00765994">
      <w:r>
        <w:rPr>
          <w:noProof/>
        </w:rPr>
        <w:drawing>
          <wp:inline distT="0" distB="0" distL="0" distR="0" wp14:anchorId="5925FB6C" wp14:editId="14326426">
            <wp:extent cx="6120765" cy="3680956"/>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7C3BAF" w14:textId="2E931075" w:rsidR="00AD4A50" w:rsidRDefault="00C96D12" w:rsidP="00AD4A50">
      <w:pPr>
        <w:pStyle w:val="Caption"/>
      </w:pPr>
      <w:r>
        <w:t>Figure 7</w:t>
      </w:r>
      <w:r w:rsidR="00AD4A50">
        <w:t xml:space="preserve">: </w:t>
      </w:r>
      <w:r w:rsidR="00652813">
        <w:t xml:space="preserve">Ease in accessing public services </w:t>
      </w:r>
    </w:p>
    <w:p w14:paraId="740AA973" w14:textId="77777777" w:rsidR="00765994" w:rsidRDefault="00765994" w:rsidP="00765994"/>
    <w:p w14:paraId="5647ED84" w14:textId="77777777" w:rsidR="005705C5" w:rsidRPr="005705C5" w:rsidRDefault="005705C5" w:rsidP="005705C5">
      <w:r w:rsidRPr="005705C5">
        <w:lastRenderedPageBreak/>
        <w:t>Respondents living in Depok, Sukabumi and Bogor area are the most likely to declare never having experienced discrimination in accessing public services. More respondents from Kuningan and Tasikmalaya declared having often experienced discrimination in accessing public services. But even between villages within those areas the access to services per area vary significantly.</w:t>
      </w:r>
    </w:p>
    <w:p w14:paraId="206FCD60" w14:textId="77777777" w:rsidR="005705C5" w:rsidRPr="005705C5" w:rsidRDefault="005705C5" w:rsidP="005705C5">
      <w:pPr>
        <w:rPr>
          <w:rFonts w:ascii="Calibri" w:eastAsia="Calibri" w:hAnsi="Calibri"/>
          <w:color w:val="auto"/>
          <w:szCs w:val="22"/>
        </w:rPr>
      </w:pPr>
      <w:r w:rsidRPr="005705C5">
        <w:t xml:space="preserve">The participants in the FGDs also reported this variance from one location to another.  </w:t>
      </w:r>
      <w:r w:rsidRPr="005705C5">
        <w:rPr>
          <w:color w:val="000000"/>
        </w:rPr>
        <w:t>In Bogor City, members of the Ahmadiyya community do not face difficulties in accessing most of the public/social services. Meanwhile, in certain villages of Bogor, some Ahmadis are unable to obtain land certificates.</w:t>
      </w:r>
      <w:r w:rsidRPr="005705C5">
        <w:rPr>
          <w:rFonts w:ascii="Calibri" w:eastAsia="Calibri" w:hAnsi="Calibri"/>
          <w:color w:val="auto"/>
          <w:szCs w:val="22"/>
        </w:rPr>
        <w:t xml:space="preserve"> </w:t>
      </w:r>
      <w:r w:rsidRPr="005705C5">
        <w:t xml:space="preserve">In some villages in Sukabumi, they have challenges with marriage certificates or burial licenses. Ahmadiyya community members reported having been denied a license from the local governments to organize events.  </w:t>
      </w:r>
    </w:p>
    <w:p w14:paraId="7C26AF57" w14:textId="42DD371F" w:rsidR="005705C5" w:rsidRPr="005705C5" w:rsidRDefault="005705C5" w:rsidP="005705C5">
      <w:r>
        <w:t>In a</w:t>
      </w:r>
      <w:r w:rsidRPr="005705C5">
        <w:t xml:space="preserve"> FGD in Tasikmalaya, several people explained they face challenges in obtaining marriage certificates. Ahmadiyya members from </w:t>
      </w:r>
      <w:proofErr w:type="spellStart"/>
      <w:r w:rsidRPr="005705C5">
        <w:t>Kersamaju</w:t>
      </w:r>
      <w:proofErr w:type="spellEnd"/>
      <w:r w:rsidRPr="005705C5">
        <w:t xml:space="preserve"> village, for instance, have been rejected to be married by the official from the Religious Affairs office (KUA). The official knew they were Ahmadiyya and told them to go the Civil Registration Office instead. The official referred to the Fatwa of MUI that states that an Ahmadiyya are not a Muslim group and therefore cannot be married. Instead, Ahmadis now choose to get married in other villages or bigger cities where officials do not know them.</w:t>
      </w:r>
    </w:p>
    <w:p w14:paraId="4B220613" w14:textId="3E55464D" w:rsidR="005705C5" w:rsidRPr="005705C5" w:rsidRDefault="0052357A" w:rsidP="005705C5">
      <w:r>
        <w:t>Another person told he could only get married by officials from KUA, if he and his future wife</w:t>
      </w:r>
      <w:r w:rsidR="000F1D7C" w:rsidRPr="009D1ABA">
        <w:t xml:space="preserve"> recite</w:t>
      </w:r>
      <w:r w:rsidR="000F1D7C">
        <w:t xml:space="preserve"> the</w:t>
      </w:r>
      <w:r w:rsidR="000F1D7C" w:rsidRPr="009D1ABA">
        <w:t xml:space="preserve"> shahada (an Islamic creed declaring belief in the oneness of God and the acceptance of Muhammad as God’s prophet) and sign an agreement/cons</w:t>
      </w:r>
      <w:r w:rsidR="000F1D7C">
        <w:t xml:space="preserve">ent of reciting it. </w:t>
      </w:r>
      <w:r w:rsidR="005705C5">
        <w:t xml:space="preserve"> The Ahmadiyya normally do not recite this shahada. </w:t>
      </w:r>
      <w:r w:rsidR="005705C5" w:rsidRPr="005705C5">
        <w:t>Such practices indicate that government officials exhibit discriminating practices against members of the Ahmadiyya communities, denying their full rights to public services.</w:t>
      </w:r>
    </w:p>
    <w:p w14:paraId="734FD114" w14:textId="0B9B3626" w:rsidR="005705C5" w:rsidRPr="005705C5" w:rsidRDefault="005705C5" w:rsidP="005705C5">
      <w:r w:rsidRPr="005705C5">
        <w:t xml:space="preserve">Districts in Kuningan, like </w:t>
      </w:r>
      <w:proofErr w:type="spellStart"/>
      <w:r w:rsidRPr="005705C5">
        <w:t>Manislor</w:t>
      </w:r>
      <w:proofErr w:type="spellEnd"/>
      <w:r w:rsidRPr="005705C5">
        <w:t xml:space="preserve">, have received national media attention for reported problems in accessing services such as identity cards.  From information obtained through FGDs, the </w:t>
      </w:r>
      <w:proofErr w:type="spellStart"/>
      <w:r w:rsidRPr="005705C5">
        <w:t>Disdukcapil</w:t>
      </w:r>
      <w:proofErr w:type="spellEnd"/>
      <w:r w:rsidRPr="005705C5">
        <w:t xml:space="preserve"> (population and civil registration office) and MUI discriminate against Ahmadis. </w:t>
      </w:r>
      <w:proofErr w:type="spellStart"/>
      <w:r w:rsidRPr="005705C5">
        <w:t>Disdukcapil</w:t>
      </w:r>
      <w:proofErr w:type="spellEnd"/>
      <w:r w:rsidRPr="005705C5">
        <w:t xml:space="preserve"> refused to provide its services. The participants in the FGD believe this is influenced by the MUI and the Fatwa and pressures from hardline Muslim organizations. The ID Card is essential for every Indonesian in obtaining other documents, like marriage certificates, driving licenses, passports, and bank accounts. So far, there are approximately 1,600 Ahmadis recorded in </w:t>
      </w:r>
      <w:proofErr w:type="spellStart"/>
      <w:r w:rsidRPr="005705C5">
        <w:t>Manislor</w:t>
      </w:r>
      <w:proofErr w:type="spellEnd"/>
      <w:r w:rsidRPr="005705C5">
        <w:t xml:space="preserve"> who are not able to get their IDs. One respondent mentioned that the issues could be politically motivated: </w:t>
      </w:r>
      <w:r w:rsidRPr="005705C5">
        <w:rPr>
          <w:rStyle w:val="QuoteChar"/>
        </w:rPr>
        <w:t>“All together, we are with more than a thousand people, allegedly there is an attempt to keep us from obtaining our IDs, so that we won’t be able to vote in the coming regional elections.”</w:t>
      </w:r>
      <w:r w:rsidRPr="005705C5">
        <w:t xml:space="preserve"> </w:t>
      </w:r>
    </w:p>
    <w:p w14:paraId="5814E5B9" w14:textId="77777777" w:rsidR="005705C5" w:rsidRPr="005705C5" w:rsidRDefault="005705C5" w:rsidP="005705C5">
      <w:r w:rsidRPr="005705C5">
        <w:t xml:space="preserve">Not only officials in villages in Kuningan, but also in other villages in areas such as </w:t>
      </w:r>
      <w:proofErr w:type="spellStart"/>
      <w:r w:rsidRPr="005705C5">
        <w:t>Tasimalaya</w:t>
      </w:r>
      <w:proofErr w:type="spellEnd"/>
      <w:r w:rsidRPr="005705C5">
        <w:t xml:space="preserve"> require Ahmadis to leave blank the religion identification section in their ID Cards. Those who face difficulties in registering their marriage or obtaining an ID Card have found alternative </w:t>
      </w:r>
      <w:r w:rsidRPr="005705C5">
        <w:lastRenderedPageBreak/>
        <w:t>solutions by going to other areas where it is easier to obtain these documents. This is still not a solution as obtaining an ID card requires basic registration from the local officials in the place or residence.</w:t>
      </w:r>
    </w:p>
    <w:p w14:paraId="63621A74" w14:textId="63CD0412" w:rsidR="00765994" w:rsidRDefault="00765994" w:rsidP="005705C5"/>
    <w:p w14:paraId="459DC788" w14:textId="2D656740" w:rsidR="00765994" w:rsidRDefault="00765994" w:rsidP="00765994"/>
    <w:p w14:paraId="70B58EA5" w14:textId="1F3A4B46" w:rsidR="0056367A" w:rsidRDefault="0056367A" w:rsidP="00765994"/>
    <w:p w14:paraId="1A668E54" w14:textId="3FD061D5" w:rsidR="005705C5" w:rsidRDefault="005705C5" w:rsidP="00765994"/>
    <w:p w14:paraId="3845F961" w14:textId="618D3767" w:rsidR="005705C5" w:rsidRDefault="005705C5" w:rsidP="00765994"/>
    <w:p w14:paraId="01934F80" w14:textId="7992980C" w:rsidR="005705C5" w:rsidRDefault="005705C5" w:rsidP="00765994"/>
    <w:p w14:paraId="07E0034B" w14:textId="63812AB8" w:rsidR="005705C5" w:rsidRDefault="005705C5" w:rsidP="00765994"/>
    <w:p w14:paraId="6D50BA5F" w14:textId="2EF0C3BC" w:rsidR="005705C5" w:rsidRDefault="005705C5" w:rsidP="00765994"/>
    <w:p w14:paraId="6591DF75" w14:textId="28AC3B8D" w:rsidR="005705C5" w:rsidRDefault="005705C5" w:rsidP="00765994"/>
    <w:p w14:paraId="7275468B" w14:textId="152724DF" w:rsidR="005705C5" w:rsidRDefault="005705C5" w:rsidP="00765994"/>
    <w:p w14:paraId="19BE4C57" w14:textId="7F4AA972" w:rsidR="005705C5" w:rsidRDefault="005705C5" w:rsidP="00765994"/>
    <w:p w14:paraId="6E537BBD" w14:textId="12A06BD2" w:rsidR="005705C5" w:rsidRDefault="005705C5" w:rsidP="00765994"/>
    <w:p w14:paraId="2F55012D" w14:textId="735BDDD3" w:rsidR="005705C5" w:rsidRDefault="005705C5" w:rsidP="00765994"/>
    <w:p w14:paraId="2659CE02" w14:textId="122AD2A4" w:rsidR="005705C5" w:rsidRDefault="005705C5" w:rsidP="00765994"/>
    <w:p w14:paraId="0FDF970D" w14:textId="03546F7C" w:rsidR="005705C5" w:rsidRDefault="005705C5" w:rsidP="00765994"/>
    <w:p w14:paraId="59459EF8" w14:textId="5A2DF2DA" w:rsidR="005705C5" w:rsidRDefault="005705C5" w:rsidP="00765994"/>
    <w:p w14:paraId="2FCA6B37" w14:textId="64638124" w:rsidR="005705C5" w:rsidRDefault="005705C5" w:rsidP="00765994"/>
    <w:p w14:paraId="585E3372" w14:textId="6522399D" w:rsidR="005705C5" w:rsidRDefault="005705C5" w:rsidP="00765994"/>
    <w:p w14:paraId="6D092139" w14:textId="7E0464AB" w:rsidR="005705C5" w:rsidRDefault="005705C5" w:rsidP="00765994"/>
    <w:p w14:paraId="0996EEEF" w14:textId="18EBE75D" w:rsidR="005705C5" w:rsidRDefault="005705C5" w:rsidP="00765994"/>
    <w:p w14:paraId="2D17A976" w14:textId="77777777" w:rsidR="005705C5" w:rsidRDefault="005705C5" w:rsidP="00765994"/>
    <w:p w14:paraId="002E3673" w14:textId="77777777" w:rsidR="00765994" w:rsidRDefault="00D60044" w:rsidP="00765994">
      <w:pPr>
        <w:pStyle w:val="Heading1"/>
      </w:pPr>
      <w:bookmarkStart w:id="16" w:name="_Toc477294869"/>
      <w:r>
        <w:lastRenderedPageBreak/>
        <w:t xml:space="preserve">Experience of </w:t>
      </w:r>
      <w:r w:rsidR="005E0830">
        <w:t xml:space="preserve">Social </w:t>
      </w:r>
      <w:r>
        <w:t>E</w:t>
      </w:r>
      <w:r w:rsidR="00765994">
        <w:t>xcl</w:t>
      </w:r>
      <w:r>
        <w:t>usion</w:t>
      </w:r>
      <w:bookmarkEnd w:id="16"/>
    </w:p>
    <w:p w14:paraId="25BF0188" w14:textId="255DC455" w:rsidR="00126C4C" w:rsidRPr="00126C4C" w:rsidRDefault="00126C4C" w:rsidP="00126C4C">
      <w:r w:rsidRPr="00126C4C">
        <w:t>In this research, social exclusion is understood as a form of discrimination by the society or community. Exclusion happens when the surrounding community is not accepting the Ahmadiyya and there is a negative perception of them. Exclusion also happens when the Ahmadiyya do not participate in community decision-making and when they are excluded (deliberately or not deliberately) from planning, decision-making, and community activities/gatherings. In this section</w:t>
      </w:r>
      <w:r>
        <w:t>,</w:t>
      </w:r>
      <w:r w:rsidRPr="00126C4C">
        <w:t xml:space="preserve"> we present findings on the extent to which Ahmadis experience social exclusion.</w:t>
      </w:r>
    </w:p>
    <w:p w14:paraId="715A9682" w14:textId="77777777" w:rsidR="00D60044" w:rsidRDefault="005E0830" w:rsidP="005E0830">
      <w:pPr>
        <w:pStyle w:val="Heading2"/>
      </w:pPr>
      <w:bookmarkStart w:id="17" w:name="_Toc477294870"/>
      <w:r>
        <w:t>Harmony in the neighbourhood</w:t>
      </w:r>
      <w:bookmarkEnd w:id="17"/>
    </w:p>
    <w:p w14:paraId="3B4D0050" w14:textId="538FB46B" w:rsidR="005E0830" w:rsidRDefault="00A922B0" w:rsidP="005E0830">
      <w:r>
        <w:rPr>
          <w:noProof/>
        </w:rPr>
        <w:drawing>
          <wp:anchor distT="0" distB="0" distL="114300" distR="114300" simplePos="0" relativeHeight="251663360" behindDoc="1" locked="0" layoutInCell="1" allowOverlap="1" wp14:anchorId="168B0F1B" wp14:editId="6FCF3B46">
            <wp:simplePos x="0" y="0"/>
            <wp:positionH relativeFrom="column">
              <wp:posOffset>1600200</wp:posOffset>
            </wp:positionH>
            <wp:positionV relativeFrom="paragraph">
              <wp:posOffset>1112520</wp:posOffset>
            </wp:positionV>
            <wp:extent cx="5002530" cy="3171825"/>
            <wp:effectExtent l="0" t="0" r="762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126C4C">
        <w:t xml:space="preserve">Individual Ahmadis keep a good relationship with their neighbors. According to the survey, more than 90% live harmonious or very harmonious with their neighbors. The relationship with non-Ahmadiyya people in the neighbourhood is also considered very positive. </w:t>
      </w:r>
      <w:r w:rsidR="00126C4C" w:rsidRPr="004166A9">
        <w:t xml:space="preserve">The majority declared </w:t>
      </w:r>
      <w:r w:rsidR="00126C4C">
        <w:t xml:space="preserve">that they </w:t>
      </w:r>
      <w:r w:rsidR="00126C4C" w:rsidRPr="004166A9">
        <w:t>liv</w:t>
      </w:r>
      <w:r w:rsidR="00126C4C">
        <w:t>ed</w:t>
      </w:r>
      <w:r w:rsidR="00126C4C" w:rsidRPr="004166A9">
        <w:t xml:space="preserve"> in harmony with no</w:t>
      </w:r>
      <w:r w:rsidR="00126C4C">
        <w:t>n</w:t>
      </w:r>
      <w:r w:rsidR="00126C4C" w:rsidRPr="004166A9">
        <w:t>-Ahmadiyya people in their community (</w:t>
      </w:r>
      <w:r w:rsidR="00126C4C">
        <w:t>71.25%) and just over a quarter (</w:t>
      </w:r>
      <w:r w:rsidR="00126C4C" w:rsidRPr="004166A9">
        <w:t>28%</w:t>
      </w:r>
      <w:r w:rsidR="00126C4C">
        <w:t xml:space="preserve">) </w:t>
      </w:r>
      <w:r w:rsidR="00126C4C" w:rsidRPr="004166A9">
        <w:t>stated living in a neutral relationship</w:t>
      </w:r>
      <w:r w:rsidR="004166A9" w:rsidRPr="004166A9">
        <w:t>.</w:t>
      </w:r>
    </w:p>
    <w:p w14:paraId="03255590" w14:textId="0518F7EA" w:rsidR="00A922B0" w:rsidRDefault="00126C4C" w:rsidP="00126C4C">
      <w:r w:rsidRPr="00126C4C">
        <w:t>The level of interaction between Ahmadiyya and non-Ahmadiyya is high. Figure</w:t>
      </w:r>
      <w:r>
        <w:t xml:space="preserve"> 8</w:t>
      </w:r>
      <w:r w:rsidRPr="00126C4C">
        <w:t xml:space="preserve"> shows how often the respondents interact with non-Ahmadiyya. Although half of the respondents said they did not have work, most reported interaction happens at their place of employment or where they make a living.</w:t>
      </w:r>
    </w:p>
    <w:p w14:paraId="4A5030A8" w14:textId="6ECE1F76" w:rsidR="004166A9" w:rsidRDefault="004166A9" w:rsidP="00126C4C">
      <w:pPr>
        <w:pStyle w:val="Caption"/>
        <w:jc w:val="right"/>
      </w:pPr>
      <w:r>
        <w:t>F</w:t>
      </w:r>
      <w:r w:rsidR="00126C4C">
        <w:t>igure 8</w:t>
      </w:r>
      <w:r>
        <w:t xml:space="preserve">: </w:t>
      </w:r>
      <w:r w:rsidR="00A922B0">
        <w:t xml:space="preserve">Interactions </w:t>
      </w:r>
      <w:r w:rsidRPr="004166A9">
        <w:t>respondents with no</w:t>
      </w:r>
      <w:r>
        <w:t>n</w:t>
      </w:r>
      <w:r w:rsidRPr="004166A9">
        <w:t>-Ahmadiyya in last month</w:t>
      </w:r>
    </w:p>
    <w:p w14:paraId="0167717B" w14:textId="77777777" w:rsidR="00E3389A" w:rsidRDefault="00E3389A" w:rsidP="004166A9">
      <w:pPr>
        <w:rPr>
          <w:lang w:val="en-AU"/>
        </w:rPr>
      </w:pPr>
    </w:p>
    <w:p w14:paraId="78793AFF" w14:textId="3CB53688" w:rsidR="005D4F53" w:rsidRDefault="00126C4C" w:rsidP="004166A9">
      <w:pPr>
        <w:rPr>
          <w:lang w:val="en-AU"/>
        </w:rPr>
      </w:pPr>
      <w:r>
        <w:rPr>
          <w:lang w:val="en-AU"/>
        </w:rPr>
        <w:t>The top five</w:t>
      </w:r>
      <w:r w:rsidR="005D4F53">
        <w:rPr>
          <w:lang w:val="en-AU"/>
        </w:rPr>
        <w:t xml:space="preserve"> places</w:t>
      </w:r>
      <w:r w:rsidR="00A922B0">
        <w:rPr>
          <w:lang w:val="en-AU"/>
        </w:rPr>
        <w:t xml:space="preserve"> for Ahmadis</w:t>
      </w:r>
      <w:r w:rsidR="005D4F53">
        <w:rPr>
          <w:lang w:val="en-AU"/>
        </w:rPr>
        <w:t xml:space="preserve"> to interact </w:t>
      </w:r>
      <w:r w:rsidR="00A922B0">
        <w:rPr>
          <w:lang w:val="en-AU"/>
        </w:rPr>
        <w:t xml:space="preserve">with other community members </w:t>
      </w:r>
      <w:r w:rsidR="005D4F53">
        <w:rPr>
          <w:lang w:val="en-AU"/>
        </w:rPr>
        <w:t>are:</w:t>
      </w:r>
    </w:p>
    <w:p w14:paraId="5DD93522" w14:textId="1C2E67E4" w:rsidR="005D4F53" w:rsidRPr="005D4F53" w:rsidRDefault="005D4F53" w:rsidP="006F1E1D">
      <w:pPr>
        <w:pStyle w:val="ListNumber"/>
        <w:spacing w:line="192" w:lineRule="auto"/>
        <w:ind w:left="965" w:hanging="403"/>
      </w:pPr>
      <w:r w:rsidRPr="005D4F53">
        <w:t>At work</w:t>
      </w:r>
    </w:p>
    <w:p w14:paraId="70D83F54" w14:textId="7806C312" w:rsidR="005D4F53" w:rsidRPr="005D4F53" w:rsidRDefault="005D4F53" w:rsidP="006F1E1D">
      <w:pPr>
        <w:pStyle w:val="ListNumber"/>
        <w:spacing w:line="192" w:lineRule="auto"/>
        <w:ind w:left="965" w:hanging="403"/>
      </w:pPr>
      <w:r w:rsidRPr="005D4F53">
        <w:t>At their home</w:t>
      </w:r>
    </w:p>
    <w:p w14:paraId="33025B86" w14:textId="25F8262F" w:rsidR="005D4F53" w:rsidRPr="005D4F53" w:rsidRDefault="005D4F53" w:rsidP="006F1E1D">
      <w:pPr>
        <w:pStyle w:val="ListNumber"/>
        <w:spacing w:line="192" w:lineRule="auto"/>
        <w:ind w:left="965" w:hanging="403"/>
      </w:pPr>
      <w:r w:rsidRPr="005D4F53">
        <w:lastRenderedPageBreak/>
        <w:t>At village activities</w:t>
      </w:r>
    </w:p>
    <w:p w14:paraId="7C7DEDA1" w14:textId="4024DFB5" w:rsidR="005D4F53" w:rsidRPr="005D4F53" w:rsidRDefault="005D4F53" w:rsidP="006F1E1D">
      <w:pPr>
        <w:pStyle w:val="ListNumber"/>
        <w:spacing w:line="192" w:lineRule="auto"/>
        <w:ind w:left="965" w:hanging="403"/>
      </w:pPr>
      <w:r w:rsidRPr="005D4F53">
        <w:t>At an organization</w:t>
      </w:r>
      <w:r w:rsidR="00126C4C">
        <w:t xml:space="preserve"> (like sport clubs, hobby clubs or community organizations)</w:t>
      </w:r>
    </w:p>
    <w:p w14:paraId="06124469" w14:textId="5A658FE6" w:rsidR="0098673B" w:rsidRPr="004166A9" w:rsidRDefault="005D4F53" w:rsidP="006F1E1D">
      <w:pPr>
        <w:pStyle w:val="ListNumber"/>
        <w:spacing w:line="192" w:lineRule="auto"/>
        <w:ind w:left="965" w:hanging="403"/>
      </w:pPr>
      <w:r w:rsidRPr="005D4F53">
        <w:t>In restaurant/café/shop</w:t>
      </w:r>
    </w:p>
    <w:p w14:paraId="05D71AA2" w14:textId="77777777" w:rsidR="00C06D98" w:rsidRDefault="00E3389A" w:rsidP="00E3389A">
      <w:pPr>
        <w:pStyle w:val="Heading2"/>
      </w:pPr>
      <w:bookmarkStart w:id="18" w:name="_Toc477294871"/>
      <w:r>
        <w:t>Level of engagement</w:t>
      </w:r>
      <w:bookmarkEnd w:id="18"/>
    </w:p>
    <w:p w14:paraId="3FDB39EE" w14:textId="101E271F" w:rsidR="00126C4C" w:rsidRPr="00126C4C" w:rsidRDefault="00126C4C" w:rsidP="00126C4C">
      <w:r w:rsidRPr="00126C4C">
        <w:t>As with the level of interaction with others in the community, the levels of engagement with other community members is considered positive. Most of the respondents engaged once every 2-3 months in community programs in the last year. But as shown in Figure</w:t>
      </w:r>
      <w:r>
        <w:t xml:space="preserve"> 9, </w:t>
      </w:r>
      <w:r w:rsidRPr="00126C4C">
        <w:t>respondents also engaged in community programs more frequently, from between once a week to twice in the last year.</w:t>
      </w:r>
    </w:p>
    <w:p w14:paraId="3EAB44D6" w14:textId="77777777" w:rsidR="0098673B" w:rsidRDefault="0098673B" w:rsidP="00D60044">
      <w:pPr>
        <w:rPr>
          <w:lang w:val="en-GB"/>
        </w:rPr>
      </w:pPr>
      <w:r>
        <w:rPr>
          <w:noProof/>
        </w:rPr>
        <w:drawing>
          <wp:inline distT="0" distB="0" distL="0" distR="0" wp14:anchorId="7C21DCAB" wp14:editId="3A1B9038">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7C8D60" w14:textId="20544A31" w:rsidR="0098673B" w:rsidRPr="0098673B" w:rsidRDefault="00126C4C" w:rsidP="0098673B">
      <w:pPr>
        <w:pStyle w:val="Caption"/>
      </w:pPr>
      <w:r>
        <w:t>Figure 9</w:t>
      </w:r>
      <w:r w:rsidR="0098673B">
        <w:t xml:space="preserve">: </w:t>
      </w:r>
      <w:r w:rsidR="0098673B" w:rsidRPr="0098673B">
        <w:t>Frequency of engagement of respondents in community programs</w:t>
      </w:r>
    </w:p>
    <w:p w14:paraId="0448683B" w14:textId="77777777" w:rsidR="00C06D98" w:rsidRDefault="00C06D98" w:rsidP="00D60044"/>
    <w:p w14:paraId="68D3566E" w14:textId="0BFD6949" w:rsidR="0098673B" w:rsidRDefault="00E324E3" w:rsidP="00D60044">
      <w:r>
        <w:t xml:space="preserve">Important to note is that Ahmadiyya feel accepted in community programs. When Ahmadis organize their own events and other members of the local community are involved, they experience few problems. Only in Depok there have reportedly been some tensions in the past when Ahmadis organized a big event for themselves </w:t>
      </w:r>
      <w:r w:rsidR="00114449">
        <w:t>and other co</w:t>
      </w:r>
      <w:r>
        <w:t>mmunity members we</w:t>
      </w:r>
      <w:r w:rsidR="007A64D0">
        <w:t>re not allowed</w:t>
      </w:r>
      <w:r>
        <w:t xml:space="preserve"> to join</w:t>
      </w:r>
      <w:r w:rsidR="007A64D0">
        <w:t>. An Ahmadiyya explained that sometimes</w:t>
      </w:r>
      <w:r w:rsidR="00223D99">
        <w:t xml:space="preserve"> when </w:t>
      </w:r>
      <w:r w:rsidR="007A64D0">
        <w:t xml:space="preserve">other </w:t>
      </w:r>
      <w:r w:rsidR="00223D99">
        <w:t>community members are invited to</w:t>
      </w:r>
      <w:r w:rsidR="007A64D0">
        <w:t xml:space="preserve"> their</w:t>
      </w:r>
      <w:r w:rsidR="00490E08">
        <w:t xml:space="preserve"> act</w:t>
      </w:r>
      <w:r w:rsidR="00223D99">
        <w:t>ivities, they</w:t>
      </w:r>
      <w:r w:rsidR="00490E08">
        <w:t xml:space="preserve"> </w:t>
      </w:r>
      <w:r w:rsidR="00223D99">
        <w:t>have the tendency to believe that</w:t>
      </w:r>
      <w:r>
        <w:t xml:space="preserve"> the</w:t>
      </w:r>
      <w:r w:rsidR="00223D99">
        <w:t xml:space="preserve"> Ahmadiyya would like to </w:t>
      </w:r>
      <w:r w:rsidR="00223D99" w:rsidRPr="00223D99">
        <w:t xml:space="preserve">spread their </w:t>
      </w:r>
      <w:r w:rsidR="00223D99">
        <w:t>ideology</w:t>
      </w:r>
      <w:r w:rsidR="00223D99" w:rsidRPr="00223D99">
        <w:t xml:space="preserve"> </w:t>
      </w:r>
      <w:r w:rsidR="00223D99">
        <w:t>to</w:t>
      </w:r>
      <w:r w:rsidR="00223D99" w:rsidRPr="00223D99">
        <w:t xml:space="preserve"> non-Ahmad</w:t>
      </w:r>
      <w:r w:rsidR="00223D99">
        <w:t>iyya</w:t>
      </w:r>
      <w:r w:rsidR="00223D99" w:rsidRPr="00223D99">
        <w:t>.</w:t>
      </w:r>
    </w:p>
    <w:p w14:paraId="0EA7A03E" w14:textId="77777777" w:rsidR="0098673B" w:rsidRDefault="0098673B" w:rsidP="00D60044">
      <w:r>
        <w:rPr>
          <w:noProof/>
        </w:rPr>
        <w:lastRenderedPageBreak/>
        <w:drawing>
          <wp:inline distT="0" distB="0" distL="0" distR="0" wp14:anchorId="4E78972C" wp14:editId="600C9088">
            <wp:extent cx="6248400" cy="98298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E68E71" w14:textId="389BC438" w:rsidR="006F1E1D" w:rsidRDefault="00E324E3" w:rsidP="00D6378D">
      <w:pPr>
        <w:pStyle w:val="Caption"/>
        <w:ind w:left="0" w:firstLine="0"/>
      </w:pPr>
      <w:r>
        <w:t>Figure 10</w:t>
      </w:r>
      <w:r w:rsidR="00114449">
        <w:t>: Level of a</w:t>
      </w:r>
      <w:r w:rsidR="00D6378D">
        <w:t>cceptance in community programs</w:t>
      </w:r>
    </w:p>
    <w:p w14:paraId="1C5E4844" w14:textId="6CD76F90" w:rsidR="00490E08" w:rsidRDefault="00C07C42" w:rsidP="00114449">
      <w:pPr>
        <w:rPr>
          <w:lang w:val="en-AU"/>
        </w:rPr>
      </w:pPr>
      <w:r>
        <w:rPr>
          <w:lang w:val="en-AU"/>
        </w:rPr>
        <w:t xml:space="preserve">In the community, Ahmadis have the obligation to participate and support the community. </w:t>
      </w:r>
      <w:proofErr w:type="spellStart"/>
      <w:r w:rsidRPr="00C07C42">
        <w:rPr>
          <w:lang w:val="en-AU"/>
        </w:rPr>
        <w:t>Rabtah</w:t>
      </w:r>
      <w:proofErr w:type="spellEnd"/>
      <w:r w:rsidRPr="00C07C42">
        <w:rPr>
          <w:lang w:val="en-AU"/>
        </w:rPr>
        <w:t xml:space="preserve"> is a term in </w:t>
      </w:r>
      <w:r w:rsidR="00072022">
        <w:rPr>
          <w:lang w:val="en-AU"/>
        </w:rPr>
        <w:t xml:space="preserve">the </w:t>
      </w:r>
      <w:r w:rsidRPr="00C07C42">
        <w:rPr>
          <w:lang w:val="en-AU"/>
        </w:rPr>
        <w:t>Ahmadiyya community that obligates the members to maintain a good relations</w:t>
      </w:r>
      <w:r>
        <w:rPr>
          <w:lang w:val="en-AU"/>
        </w:rPr>
        <w:t>hip with everyone in their area</w:t>
      </w:r>
      <w:r w:rsidR="00072022">
        <w:rPr>
          <w:lang w:val="en-AU"/>
        </w:rPr>
        <w:t xml:space="preserve">. </w:t>
      </w:r>
      <w:r w:rsidR="00E324E3" w:rsidRPr="00E324E3">
        <w:rPr>
          <w:lang w:val="en-AU"/>
        </w:rPr>
        <w:t xml:space="preserve">This is their strategy, as instructed from their Caliph, to develop good relations with everyone and every institution. The Ahmadiyya have their own motto, "Love for all, hatred for none", which should be implemented in their daily life. The </w:t>
      </w:r>
      <w:proofErr w:type="spellStart"/>
      <w:r w:rsidR="00E324E3" w:rsidRPr="00E324E3">
        <w:rPr>
          <w:lang w:val="en-AU"/>
        </w:rPr>
        <w:t>Rabtah</w:t>
      </w:r>
      <w:proofErr w:type="spellEnd"/>
      <w:r w:rsidR="00E324E3" w:rsidRPr="00E324E3">
        <w:rPr>
          <w:lang w:val="en-AU"/>
        </w:rPr>
        <w:t xml:space="preserve"> defines three general guiding principles</w:t>
      </w:r>
      <w:r w:rsidR="00E324E3">
        <w:rPr>
          <w:lang w:val="en-AU"/>
        </w:rPr>
        <w:t>:</w:t>
      </w:r>
    </w:p>
    <w:p w14:paraId="5140DDDE" w14:textId="77777777" w:rsidR="0039444D" w:rsidRDefault="00490E08" w:rsidP="0039444D">
      <w:pPr>
        <w:pStyle w:val="ListNumber"/>
        <w:numPr>
          <w:ilvl w:val="0"/>
          <w:numId w:val="31"/>
        </w:numPr>
        <w:jc w:val="both"/>
      </w:pPr>
      <w:r w:rsidRPr="0039444D">
        <w:rPr>
          <w:u w:val="single"/>
        </w:rPr>
        <w:t>Recognition:</w:t>
      </w:r>
      <w:r>
        <w:t xml:space="preserve"> Introduction to</w:t>
      </w:r>
      <w:r w:rsidRPr="00490E08">
        <w:t xml:space="preserve"> the existence of </w:t>
      </w:r>
      <w:r>
        <w:t>the Ahmadiyya community. It should</w:t>
      </w:r>
      <w:r w:rsidRPr="00490E08">
        <w:t xml:space="preserve"> be achieved through social activities, for instance</w:t>
      </w:r>
      <w:r>
        <w:t xml:space="preserve"> by</w:t>
      </w:r>
      <w:r w:rsidRPr="00490E08">
        <w:t xml:space="preserve"> involving the </w:t>
      </w:r>
      <w:proofErr w:type="spellStart"/>
      <w:r w:rsidRPr="00490E08">
        <w:t>Karang</w:t>
      </w:r>
      <w:proofErr w:type="spellEnd"/>
      <w:r w:rsidRPr="00490E08">
        <w:t xml:space="preserve"> </w:t>
      </w:r>
      <w:proofErr w:type="spellStart"/>
      <w:r w:rsidRPr="00490E08">
        <w:t>Taruna</w:t>
      </w:r>
      <w:proofErr w:type="spellEnd"/>
      <w:r w:rsidRPr="00490E08">
        <w:t xml:space="preserve"> (</w:t>
      </w:r>
      <w:r>
        <w:t xml:space="preserve">Ahmadiyya </w:t>
      </w:r>
      <w:r w:rsidRPr="00490E08">
        <w:t>youth organisation in the communit</w:t>
      </w:r>
      <w:r w:rsidR="0039444D">
        <w:t>y) to arrange those activities.</w:t>
      </w:r>
    </w:p>
    <w:p w14:paraId="21D5FD09" w14:textId="77777777" w:rsidR="0039444D" w:rsidRDefault="00490E08" w:rsidP="0039444D">
      <w:pPr>
        <w:pStyle w:val="ListNumber"/>
        <w:numPr>
          <w:ilvl w:val="0"/>
          <w:numId w:val="31"/>
        </w:numPr>
        <w:jc w:val="both"/>
      </w:pPr>
      <w:r w:rsidRPr="0039444D">
        <w:rPr>
          <w:u w:val="single"/>
        </w:rPr>
        <w:t>Representation:</w:t>
      </w:r>
      <w:r w:rsidRPr="0039444D">
        <w:t xml:space="preserve"> Members of Ahmadiyya should be involved in governmental decision-making nationally as well as locally. </w:t>
      </w:r>
    </w:p>
    <w:p w14:paraId="373CA0E8" w14:textId="6E555EEB" w:rsidR="00114449" w:rsidRPr="0039444D" w:rsidRDefault="00490E08" w:rsidP="0039444D">
      <w:pPr>
        <w:pStyle w:val="ListNumber"/>
        <w:numPr>
          <w:ilvl w:val="0"/>
          <w:numId w:val="31"/>
        </w:numPr>
        <w:jc w:val="both"/>
      </w:pPr>
      <w:r w:rsidRPr="0039444D">
        <w:rPr>
          <w:u w:val="single"/>
        </w:rPr>
        <w:t>Redistribution:</w:t>
      </w:r>
      <w:r w:rsidRPr="0039444D">
        <w:t xml:space="preserve"> Ahmadis, who are financially stable, should make don</w:t>
      </w:r>
      <w:r w:rsidR="0039444D">
        <w:t>ations to their local community</w:t>
      </w:r>
      <w:r w:rsidRPr="0039444D">
        <w:t>.</w:t>
      </w:r>
    </w:p>
    <w:p w14:paraId="31CE9839" w14:textId="10AE8857" w:rsidR="00E324E3" w:rsidRDefault="00E324E3" w:rsidP="00E324E3">
      <w:r>
        <w:t xml:space="preserve">One concern raised in FGDs is that social acceptance also depends </w:t>
      </w:r>
      <w:r w:rsidRPr="00223D99">
        <w:t>on the political situation.</w:t>
      </w:r>
      <w:r>
        <w:t xml:space="preserve"> Even with a stable national political situation, the impact on the local situation is dynamic, because of the decentralization and the power to locally elected</w:t>
      </w:r>
      <w:r w:rsidRPr="003D0C8C">
        <w:t xml:space="preserve"> leader</w:t>
      </w:r>
      <w:r>
        <w:t>s. According to members of the Ahmadiyya, this situation is volatile in that it could jeopardize harmonious relations between</w:t>
      </w:r>
      <w:r w:rsidRPr="003D0C8C">
        <w:t xml:space="preserve"> minority groups</w:t>
      </w:r>
      <w:r>
        <w:t xml:space="preserve"> and members of religious majorities</w:t>
      </w:r>
      <w:r w:rsidRPr="003D0C8C">
        <w:t>.</w:t>
      </w:r>
      <w:r>
        <w:t xml:space="preserve"> With leaders being elected every five years, conditions are influenced by the promises that political candidates make and the attitudes of candidates to minorities. In addition, the affiliation of candidates with Hard-line Muslim groups also influences local circumstances.  </w:t>
      </w:r>
    </w:p>
    <w:p w14:paraId="1D500BB2" w14:textId="7A730D75" w:rsidR="00C02305" w:rsidRDefault="00E324E3" w:rsidP="00C02305">
      <w:r>
        <w:t xml:space="preserve">Another concern raised, is the situation when MUI </w:t>
      </w:r>
      <w:r w:rsidRPr="00747EEB">
        <w:t>issue</w:t>
      </w:r>
      <w:r>
        <w:t xml:space="preserve">s </w:t>
      </w:r>
      <w:r w:rsidRPr="00747EEB">
        <w:t>Fatwa</w:t>
      </w:r>
      <w:r>
        <w:t>s</w:t>
      </w:r>
      <w:r w:rsidRPr="00747EEB">
        <w:t xml:space="preserve"> </w:t>
      </w:r>
      <w:r>
        <w:t>against the</w:t>
      </w:r>
      <w:r w:rsidRPr="00747EEB">
        <w:t xml:space="preserve"> Ahmadiyya</w:t>
      </w:r>
      <w:r>
        <w:t xml:space="preserve"> community; or when MUI leaders pronounce them as heretical non-Islamic</w:t>
      </w:r>
      <w:r w:rsidRPr="00747EEB">
        <w:t>.</w:t>
      </w:r>
      <w:r>
        <w:t xml:space="preserve"> Ahmadis experienced a growing intolerance, also in their own communities in the years after</w:t>
      </w:r>
      <w:r w:rsidRPr="00747EEB">
        <w:t xml:space="preserve"> </w:t>
      </w:r>
      <w:r>
        <w:t xml:space="preserve">the issuance of the Fatwa. However, in most cases when Ahmadis or their worshipping place is being attacked, the perpetrators are not from the community itself, but from other districts and cities. Often the perpetrators are members of a </w:t>
      </w:r>
      <w:r w:rsidR="00D6378D">
        <w:t>H</w:t>
      </w:r>
      <w:r>
        <w:t>ard</w:t>
      </w:r>
      <w:r w:rsidR="00D6378D">
        <w:t>-</w:t>
      </w:r>
      <w:r>
        <w:t>line Muslim mass organizations. After the Reformation in 1998</w:t>
      </w:r>
      <w:r w:rsidR="00920D26">
        <w:t>, the open and free society</w:t>
      </w:r>
      <w:r>
        <w:t xml:space="preserve"> c</w:t>
      </w:r>
      <w:r w:rsidR="00D6378D">
        <w:t>reated the condition for these H</w:t>
      </w:r>
      <w:r>
        <w:t>ard</w:t>
      </w:r>
      <w:r w:rsidR="00D6378D">
        <w:t>-</w:t>
      </w:r>
      <w:r>
        <w:t>line organizations to establish. The Ahmadiyya community are often a target of intimidation by these groups. The groups have also found a way to influence the national and local politics, strengthened by the Fatwa of MUI.</w:t>
      </w:r>
    </w:p>
    <w:p w14:paraId="45CB8E65" w14:textId="6543669A" w:rsidR="00D60044" w:rsidRDefault="00D60044" w:rsidP="00D60044">
      <w:pPr>
        <w:pStyle w:val="Heading1"/>
      </w:pPr>
      <w:bookmarkStart w:id="19" w:name="_Toc477294872"/>
      <w:r>
        <w:lastRenderedPageBreak/>
        <w:t>Experience of Violence</w:t>
      </w:r>
      <w:bookmarkEnd w:id="19"/>
    </w:p>
    <w:p w14:paraId="747C67E8" w14:textId="1AA4F769" w:rsidR="00860A3F" w:rsidRPr="00860A3F" w:rsidRDefault="00860A3F" w:rsidP="00860A3F">
      <w:proofErr w:type="spellStart"/>
      <w:r w:rsidRPr="00860A3F">
        <w:t>Setara</w:t>
      </w:r>
      <w:proofErr w:type="spellEnd"/>
      <w:r w:rsidRPr="00860A3F">
        <w:t xml:space="preserve"> Institute has years of experiences in exploring violence against religious minorities in Indonesia. It has defined all forms of violence that happened in the last ten years against religious minority groups.  Numbers of incidents are recorded and published every year. The box below represents all types of violence identified by </w:t>
      </w:r>
      <w:proofErr w:type="spellStart"/>
      <w:r w:rsidRPr="00860A3F">
        <w:t>Setara</w:t>
      </w:r>
      <w:proofErr w:type="spellEnd"/>
      <w:r w:rsidRPr="00860A3F">
        <w:t xml:space="preserve"> in the</w:t>
      </w:r>
      <w:r>
        <w:t xml:space="preserve"> last</w:t>
      </w:r>
      <w:r w:rsidRPr="00860A3F">
        <w:t xml:space="preserve"> ten years against Ahmadiyya groups and individuals. </w:t>
      </w:r>
    </w:p>
    <w:p w14:paraId="63AB1661" w14:textId="00662AE0" w:rsidR="00860A3F" w:rsidRPr="00860A3F" w:rsidRDefault="00860A3F" w:rsidP="00860A3F">
      <w:r>
        <w:t>In this section</w:t>
      </w:r>
      <w:r w:rsidRPr="00860A3F">
        <w:t>, we explain what types of violence are recorded towards Ahmadis and how often they experience them. We also explore how the past and future are perceived by the Ahmadiyya in relation to violence.</w:t>
      </w:r>
    </w:p>
    <w:tbl>
      <w:tblPr>
        <w:tblStyle w:val="FarsightTable"/>
        <w:tblW w:w="0" w:type="auto"/>
        <w:tblLook w:val="04A0" w:firstRow="1" w:lastRow="0" w:firstColumn="1" w:lastColumn="0" w:noHBand="0" w:noVBand="1"/>
      </w:tblPr>
      <w:tblGrid>
        <w:gridCol w:w="2405"/>
        <w:gridCol w:w="2405"/>
        <w:gridCol w:w="2405"/>
        <w:gridCol w:w="2405"/>
        <w:gridCol w:w="9"/>
      </w:tblGrid>
      <w:tr w:rsidR="00F22894" w14:paraId="4304B3CC" w14:textId="77777777" w:rsidTr="00F22894">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9629" w:type="dxa"/>
            <w:gridSpan w:val="5"/>
            <w:vAlign w:val="bottom"/>
          </w:tcPr>
          <w:p w14:paraId="243FEA1A" w14:textId="4C9F687B" w:rsidR="00F22894" w:rsidRDefault="00F22894" w:rsidP="00F22894">
            <w:pPr>
              <w:jc w:val="center"/>
            </w:pPr>
            <w:r>
              <w:t>Types of violence towards members of the Ahmadiyya community</w:t>
            </w:r>
          </w:p>
        </w:tc>
      </w:tr>
      <w:tr w:rsidR="00F22894" w14:paraId="676B766D" w14:textId="77777777" w:rsidTr="00CC5FDA">
        <w:trPr>
          <w:gridAfter w:val="1"/>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26727679" w14:textId="6379106A" w:rsidR="00F22894" w:rsidRPr="00AF675F" w:rsidRDefault="00F22894" w:rsidP="00CC5FDA">
            <w:pPr>
              <w:jc w:val="center"/>
              <w:rPr>
                <w:sz w:val="16"/>
                <w:szCs w:val="16"/>
              </w:rPr>
            </w:pPr>
            <w:r w:rsidRPr="00AF675F">
              <w:rPr>
                <w:sz w:val="16"/>
                <w:szCs w:val="16"/>
              </w:rPr>
              <w:t>Threat of violence</w:t>
            </w:r>
          </w:p>
        </w:tc>
        <w:tc>
          <w:tcPr>
            <w:tcW w:w="2405" w:type="dxa"/>
          </w:tcPr>
          <w:p w14:paraId="1037BFE0" w14:textId="424B648D" w:rsidR="00F22894" w:rsidRPr="00AF675F" w:rsidRDefault="00F22894"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Discrimination</w:t>
            </w:r>
          </w:p>
        </w:tc>
        <w:tc>
          <w:tcPr>
            <w:tcW w:w="2405" w:type="dxa"/>
          </w:tcPr>
          <w:p w14:paraId="45C8A587" w14:textId="6D227630" w:rsidR="00F22894" w:rsidRPr="00AF675F" w:rsidRDefault="00F22894"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Intolerance</w:t>
            </w:r>
          </w:p>
        </w:tc>
        <w:tc>
          <w:tcPr>
            <w:tcW w:w="2405" w:type="dxa"/>
          </w:tcPr>
          <w:p w14:paraId="3D830BE0" w14:textId="10AF309E" w:rsidR="00F22894" w:rsidRPr="00AF675F" w:rsidRDefault="00F22894"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Threat to attack Ahmadiyya property</w:t>
            </w:r>
          </w:p>
        </w:tc>
      </w:tr>
      <w:tr w:rsidR="00F22894" w14:paraId="3F4C47D3" w14:textId="77777777" w:rsidTr="00CC5FDA">
        <w:trPr>
          <w:gridAfter w:val="1"/>
          <w:cnfStyle w:val="000000010000" w:firstRow="0" w:lastRow="0" w:firstColumn="0" w:lastColumn="0" w:oddVBand="0" w:evenVBand="0" w:oddHBand="0" w:evenHBand="1" w:firstRowFirstColumn="0" w:firstRowLastColumn="0" w:lastRowFirstColumn="0" w:lastRowLastColumn="0"/>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20AB1C93" w14:textId="11037A1F" w:rsidR="00F22894" w:rsidRPr="00AF675F" w:rsidRDefault="001E1742" w:rsidP="00CC5FDA">
            <w:pPr>
              <w:jc w:val="center"/>
              <w:rPr>
                <w:sz w:val="16"/>
                <w:szCs w:val="16"/>
              </w:rPr>
            </w:pPr>
            <w:r w:rsidRPr="00AF675F">
              <w:rPr>
                <w:sz w:val="16"/>
                <w:szCs w:val="16"/>
              </w:rPr>
              <w:t>Burning worshipping place</w:t>
            </w:r>
          </w:p>
        </w:tc>
        <w:tc>
          <w:tcPr>
            <w:tcW w:w="2405" w:type="dxa"/>
          </w:tcPr>
          <w:p w14:paraId="5F73F93C" w14:textId="73B3303E" w:rsidR="00F22894" w:rsidRPr="00AF675F" w:rsidRDefault="00F22894"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Forbidding to worship</w:t>
            </w:r>
          </w:p>
        </w:tc>
        <w:tc>
          <w:tcPr>
            <w:tcW w:w="2405" w:type="dxa"/>
          </w:tcPr>
          <w:p w14:paraId="7F2D57B9" w14:textId="688C5A82" w:rsidR="00F22894" w:rsidRPr="00AF675F" w:rsidRDefault="001E1742"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Eviction</w:t>
            </w:r>
          </w:p>
        </w:tc>
        <w:tc>
          <w:tcPr>
            <w:tcW w:w="2405" w:type="dxa"/>
          </w:tcPr>
          <w:p w14:paraId="098B47C0" w14:textId="71DD22E4" w:rsidR="00F22894" w:rsidRPr="00AF675F" w:rsidRDefault="001E1742"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Sealing</w:t>
            </w:r>
            <w:r w:rsidR="00AF675F" w:rsidRPr="00AF675F">
              <w:rPr>
                <w:sz w:val="16"/>
                <w:szCs w:val="16"/>
              </w:rPr>
              <w:t xml:space="preserve"> and closing of</w:t>
            </w:r>
            <w:r w:rsidRPr="00AF675F">
              <w:rPr>
                <w:sz w:val="16"/>
                <w:szCs w:val="16"/>
              </w:rPr>
              <w:t xml:space="preserve"> worshipping place</w:t>
            </w:r>
          </w:p>
        </w:tc>
      </w:tr>
      <w:tr w:rsidR="00F22894" w14:paraId="13F0AC1A" w14:textId="77777777" w:rsidTr="00CC5FDA">
        <w:trPr>
          <w:gridAfter w:val="1"/>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6C6C3088" w14:textId="3BB4B562" w:rsidR="00F22894" w:rsidRPr="00AF675F" w:rsidRDefault="001E1742" w:rsidP="00CC5FDA">
            <w:pPr>
              <w:jc w:val="center"/>
              <w:rPr>
                <w:sz w:val="16"/>
                <w:szCs w:val="16"/>
              </w:rPr>
            </w:pPr>
            <w:r w:rsidRPr="00AF675F">
              <w:rPr>
                <w:sz w:val="16"/>
                <w:szCs w:val="16"/>
              </w:rPr>
              <w:t>Forcing to convert faith</w:t>
            </w:r>
          </w:p>
        </w:tc>
        <w:tc>
          <w:tcPr>
            <w:tcW w:w="2405" w:type="dxa"/>
          </w:tcPr>
          <w:p w14:paraId="0D8ECB2B" w14:textId="5995643C" w:rsidR="00F22894" w:rsidRPr="00AF675F" w:rsidRDefault="001E1742"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Demolishing personal property</w:t>
            </w:r>
          </w:p>
        </w:tc>
        <w:tc>
          <w:tcPr>
            <w:tcW w:w="2405" w:type="dxa"/>
          </w:tcPr>
          <w:p w14:paraId="3A14EA8B" w14:textId="08513CB3" w:rsidR="00F22894" w:rsidRPr="00AF675F" w:rsidRDefault="00F22894"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Threat of expulsion</w:t>
            </w:r>
          </w:p>
        </w:tc>
        <w:tc>
          <w:tcPr>
            <w:tcW w:w="2405" w:type="dxa"/>
          </w:tcPr>
          <w:p w14:paraId="4F7699A2" w14:textId="2DE0FECF" w:rsidR="00F22894" w:rsidRPr="00AF675F" w:rsidRDefault="00F22894"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Condoning</w:t>
            </w:r>
          </w:p>
        </w:tc>
      </w:tr>
      <w:tr w:rsidR="00F22894" w14:paraId="54CEB1D8" w14:textId="77777777" w:rsidTr="00CC5FDA">
        <w:trPr>
          <w:gridAfter w:val="1"/>
          <w:cnfStyle w:val="000000010000" w:firstRow="0" w:lastRow="0" w:firstColumn="0" w:lastColumn="0" w:oddVBand="0" w:evenVBand="0" w:oddHBand="0" w:evenHBand="1" w:firstRowFirstColumn="0" w:firstRowLastColumn="0" w:lastRowFirstColumn="0" w:lastRowLastColumn="0"/>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13072988" w14:textId="22F3B93F" w:rsidR="00F22894" w:rsidRPr="00AF675F" w:rsidRDefault="00F22894" w:rsidP="00CC5FDA">
            <w:pPr>
              <w:jc w:val="center"/>
              <w:rPr>
                <w:sz w:val="16"/>
                <w:szCs w:val="16"/>
              </w:rPr>
            </w:pPr>
            <w:r w:rsidRPr="00AF675F">
              <w:rPr>
                <w:sz w:val="16"/>
                <w:szCs w:val="16"/>
              </w:rPr>
              <w:t>Threat to close worshipping building</w:t>
            </w:r>
          </w:p>
        </w:tc>
        <w:tc>
          <w:tcPr>
            <w:tcW w:w="2405" w:type="dxa"/>
          </w:tcPr>
          <w:p w14:paraId="14D0EFD8" w14:textId="66F6983D" w:rsidR="00F22894" w:rsidRPr="00AF675F" w:rsidRDefault="00F22894"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Intimidation</w:t>
            </w:r>
          </w:p>
        </w:tc>
        <w:tc>
          <w:tcPr>
            <w:tcW w:w="2405" w:type="dxa"/>
          </w:tcPr>
          <w:p w14:paraId="2E8DF61B" w14:textId="45676DA2" w:rsidR="00F22894" w:rsidRPr="00AF675F" w:rsidRDefault="001E1742"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Demolishing worshipping place</w:t>
            </w:r>
          </w:p>
        </w:tc>
        <w:tc>
          <w:tcPr>
            <w:tcW w:w="2405" w:type="dxa"/>
          </w:tcPr>
          <w:p w14:paraId="17272BF9" w14:textId="487427CC" w:rsidR="00F22894" w:rsidRPr="00AF675F" w:rsidRDefault="001E1742"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Expulsion</w:t>
            </w:r>
          </w:p>
        </w:tc>
      </w:tr>
      <w:tr w:rsidR="00F22894" w14:paraId="55433298" w14:textId="77777777" w:rsidTr="00CC5FDA">
        <w:trPr>
          <w:gridAfter w:val="1"/>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188982C3" w14:textId="461990CF" w:rsidR="00F22894" w:rsidRPr="00AF675F" w:rsidRDefault="001E1742" w:rsidP="00CC5FDA">
            <w:pPr>
              <w:jc w:val="center"/>
              <w:rPr>
                <w:sz w:val="16"/>
                <w:szCs w:val="16"/>
              </w:rPr>
            </w:pPr>
            <w:r w:rsidRPr="00AF675F">
              <w:rPr>
                <w:sz w:val="16"/>
                <w:szCs w:val="16"/>
              </w:rPr>
              <w:t>Threat to attack worshipping building</w:t>
            </w:r>
          </w:p>
        </w:tc>
        <w:tc>
          <w:tcPr>
            <w:tcW w:w="2405" w:type="dxa"/>
          </w:tcPr>
          <w:p w14:paraId="6E6A3DC4" w14:textId="50FE1620" w:rsidR="00F22894"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Hate speech</w:t>
            </w:r>
          </w:p>
        </w:tc>
        <w:tc>
          <w:tcPr>
            <w:tcW w:w="2405" w:type="dxa"/>
          </w:tcPr>
          <w:p w14:paraId="7CD07A9E" w14:textId="5BB80E0D" w:rsidR="00F22894"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Deviation</w:t>
            </w:r>
          </w:p>
        </w:tc>
        <w:tc>
          <w:tcPr>
            <w:tcW w:w="2405" w:type="dxa"/>
          </w:tcPr>
          <w:p w14:paraId="64FCE752" w14:textId="668AF9AB" w:rsidR="00F22894"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Limiting access to worship</w:t>
            </w:r>
          </w:p>
        </w:tc>
      </w:tr>
      <w:tr w:rsidR="00AF675F" w14:paraId="45AEEA16" w14:textId="77777777" w:rsidTr="00CC5FDA">
        <w:trPr>
          <w:gridAfter w:val="1"/>
          <w:cnfStyle w:val="000000010000" w:firstRow="0" w:lastRow="0" w:firstColumn="0" w:lastColumn="0" w:oddVBand="0" w:evenVBand="0" w:oddHBand="0" w:evenHBand="1" w:firstRowFirstColumn="0" w:firstRowLastColumn="0" w:lastRowFirstColumn="0" w:lastRowLastColumn="0"/>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72D1BD62" w14:textId="474F15CB" w:rsidR="00AF675F" w:rsidRPr="00AF675F" w:rsidRDefault="00AF675F" w:rsidP="00CC5FDA">
            <w:pPr>
              <w:jc w:val="center"/>
              <w:rPr>
                <w:sz w:val="16"/>
                <w:szCs w:val="16"/>
              </w:rPr>
            </w:pPr>
            <w:r w:rsidRPr="00AF675F">
              <w:rPr>
                <w:sz w:val="16"/>
                <w:szCs w:val="16"/>
              </w:rPr>
              <w:t>Dismissing religious activities</w:t>
            </w:r>
          </w:p>
        </w:tc>
        <w:tc>
          <w:tcPr>
            <w:tcW w:w="2405" w:type="dxa"/>
          </w:tcPr>
          <w:p w14:paraId="735B561B" w14:textId="5479C029" w:rsidR="00AF675F" w:rsidRPr="00AF675F" w:rsidRDefault="00AF675F"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Detention</w:t>
            </w:r>
          </w:p>
        </w:tc>
        <w:tc>
          <w:tcPr>
            <w:tcW w:w="2405" w:type="dxa"/>
          </w:tcPr>
          <w:p w14:paraId="12032D3E" w14:textId="3E30EAD4" w:rsidR="00AF675F" w:rsidRPr="00AF675F" w:rsidRDefault="00AF675F"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Forced job change</w:t>
            </w:r>
          </w:p>
        </w:tc>
        <w:tc>
          <w:tcPr>
            <w:tcW w:w="2405" w:type="dxa"/>
          </w:tcPr>
          <w:p w14:paraId="1EEB5880" w14:textId="68B10700" w:rsidR="00AF675F" w:rsidRPr="00AF675F" w:rsidRDefault="00AF675F" w:rsidP="00CC5FDA">
            <w:pPr>
              <w:jc w:val="center"/>
              <w:cnfStyle w:val="000000010000" w:firstRow="0" w:lastRow="0" w:firstColumn="0" w:lastColumn="0" w:oddVBand="0" w:evenVBand="0" w:oddHBand="0" w:evenHBand="1" w:firstRowFirstColumn="0" w:firstRowLastColumn="0" w:lastRowFirstColumn="0" w:lastRowLastColumn="0"/>
              <w:rPr>
                <w:sz w:val="16"/>
                <w:szCs w:val="16"/>
              </w:rPr>
            </w:pPr>
            <w:r w:rsidRPr="00AF675F">
              <w:rPr>
                <w:sz w:val="16"/>
                <w:szCs w:val="16"/>
              </w:rPr>
              <w:t>Murder</w:t>
            </w:r>
          </w:p>
        </w:tc>
      </w:tr>
      <w:tr w:rsidR="00AF675F" w14:paraId="6044D974" w14:textId="77777777" w:rsidTr="00CC5FDA">
        <w:trPr>
          <w:gridAfter w:val="1"/>
          <w:wAfter w:w="9" w:type="dxa"/>
          <w:trHeight w:val="20"/>
        </w:trPr>
        <w:tc>
          <w:tcPr>
            <w:cnfStyle w:val="001000000000" w:firstRow="0" w:lastRow="0" w:firstColumn="1" w:lastColumn="0" w:oddVBand="0" w:evenVBand="0" w:oddHBand="0" w:evenHBand="0" w:firstRowFirstColumn="0" w:firstRowLastColumn="0" w:lastRowFirstColumn="0" w:lastRowLastColumn="0"/>
            <w:tcW w:w="2405" w:type="dxa"/>
          </w:tcPr>
          <w:p w14:paraId="6103EE93" w14:textId="2CF52A2A" w:rsidR="00AF675F" w:rsidRPr="00AF675F" w:rsidRDefault="00AF675F" w:rsidP="00CC5FDA">
            <w:pPr>
              <w:jc w:val="center"/>
              <w:rPr>
                <w:sz w:val="16"/>
                <w:szCs w:val="16"/>
              </w:rPr>
            </w:pPr>
            <w:r w:rsidRPr="00AF675F">
              <w:rPr>
                <w:sz w:val="16"/>
                <w:szCs w:val="16"/>
              </w:rPr>
              <w:t>Sexual harassment</w:t>
            </w:r>
          </w:p>
        </w:tc>
        <w:tc>
          <w:tcPr>
            <w:tcW w:w="2405" w:type="dxa"/>
          </w:tcPr>
          <w:p w14:paraId="6EE46879" w14:textId="4ECBE16B" w:rsidR="00AF675F"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Threat to rape</w:t>
            </w:r>
          </w:p>
        </w:tc>
        <w:tc>
          <w:tcPr>
            <w:tcW w:w="2405" w:type="dxa"/>
          </w:tcPr>
          <w:p w14:paraId="4B88E7D6" w14:textId="0786E01C" w:rsidR="00AF675F"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Bullying</w:t>
            </w:r>
          </w:p>
        </w:tc>
        <w:tc>
          <w:tcPr>
            <w:tcW w:w="2405" w:type="dxa"/>
          </w:tcPr>
          <w:p w14:paraId="5E32DC93" w14:textId="3DA3DA05" w:rsidR="00AF675F" w:rsidRPr="00AF675F" w:rsidRDefault="00AF675F" w:rsidP="00CC5FDA">
            <w:pPr>
              <w:jc w:val="center"/>
              <w:cnfStyle w:val="000000000000" w:firstRow="0" w:lastRow="0" w:firstColumn="0" w:lastColumn="0" w:oddVBand="0" w:evenVBand="0" w:oddHBand="0" w:evenHBand="0" w:firstRowFirstColumn="0" w:firstRowLastColumn="0" w:lastRowFirstColumn="0" w:lastRowLastColumn="0"/>
              <w:rPr>
                <w:sz w:val="16"/>
                <w:szCs w:val="16"/>
              </w:rPr>
            </w:pPr>
            <w:r w:rsidRPr="00AF675F">
              <w:rPr>
                <w:sz w:val="16"/>
                <w:szCs w:val="16"/>
              </w:rPr>
              <w:t>Beaten up</w:t>
            </w:r>
          </w:p>
        </w:tc>
      </w:tr>
    </w:tbl>
    <w:p w14:paraId="025F3BE0" w14:textId="7AA15DC0" w:rsidR="00C02305" w:rsidRDefault="00CC5FDA" w:rsidP="00CC5FDA">
      <w:pPr>
        <w:pStyle w:val="Caption"/>
      </w:pPr>
      <w:r>
        <w:t>Box 1: Types of violence against members of the Ahmadiyya community happened during 2007-2016</w:t>
      </w:r>
    </w:p>
    <w:p w14:paraId="235EF171" w14:textId="225B3250" w:rsidR="00BF1F1C" w:rsidRDefault="00860A3F" w:rsidP="00BF1F1C">
      <w:pPr>
        <w:pStyle w:val="Heading2"/>
      </w:pPr>
      <w:bookmarkStart w:id="20" w:name="_Toc477294873"/>
      <w:r>
        <w:t>Ahmadis</w:t>
      </w:r>
      <w:r w:rsidR="00A85C11">
        <w:t xml:space="preserve"> as victim</w:t>
      </w:r>
      <w:r>
        <w:t>s</w:t>
      </w:r>
      <w:bookmarkEnd w:id="20"/>
    </w:p>
    <w:p w14:paraId="40FEB52C" w14:textId="36589559" w:rsidR="008602A1" w:rsidRDefault="00860A3F" w:rsidP="003B19F8">
      <w:r>
        <w:t>The majority of the Ahmadiyya respondents and their family members (63.5%) have never experienced violence because of their religion in the past five years. From the respondents that have experienced violence, the majority answered that this was sometimes/seldom (29.50%). The age group that is more likely to experience violence are</w:t>
      </w:r>
      <w:r w:rsidRPr="006E288B">
        <w:t xml:space="preserve"> </w:t>
      </w:r>
      <w:r>
        <w:t xml:space="preserve">between </w:t>
      </w:r>
      <w:r w:rsidRPr="006E288B">
        <w:t>25 to 40 years old.</w:t>
      </w:r>
      <w:r>
        <w:t xml:space="preserve"> Also, an Ahmadiyya with an income below IDR 2,600,000 is most likely to have experienced violence because of religion in the past five years. It can be concluded that members of Ahmadiyya in lower income households are at higher risk of experiencing religious violence than members in wealthier households.</w:t>
      </w:r>
    </w:p>
    <w:p w14:paraId="09408A82" w14:textId="5E83B5AE" w:rsidR="006E288B" w:rsidRDefault="008602A1" w:rsidP="003B19F8">
      <w:r w:rsidRPr="006266CF">
        <w:rPr>
          <w:noProof/>
        </w:rPr>
        <w:lastRenderedPageBreak/>
        <mc:AlternateContent>
          <mc:Choice Requires="wps">
            <w:drawing>
              <wp:anchor distT="45720" distB="45720" distL="114300" distR="114300" simplePos="0" relativeHeight="251667456" behindDoc="0" locked="0" layoutInCell="1" allowOverlap="1" wp14:anchorId="248785A8" wp14:editId="30959DF4">
                <wp:simplePos x="0" y="0"/>
                <wp:positionH relativeFrom="margin">
                  <wp:posOffset>4194810</wp:posOffset>
                </wp:positionH>
                <wp:positionV relativeFrom="paragraph">
                  <wp:posOffset>48260</wp:posOffset>
                </wp:positionV>
                <wp:extent cx="2345690" cy="108966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1089660"/>
                        </a:xfrm>
                        <a:prstGeom prst="rect">
                          <a:avLst/>
                        </a:prstGeom>
                        <a:solidFill>
                          <a:srgbClr val="FFFFFF"/>
                        </a:solidFill>
                        <a:ln w="9525">
                          <a:noFill/>
                          <a:miter lim="800000"/>
                          <a:headEnd/>
                          <a:tailEnd/>
                        </a:ln>
                      </wps:spPr>
                      <wps:txbx>
                        <w:txbxContent>
                          <w:p w14:paraId="10EAD948" w14:textId="78A3EE03" w:rsidR="00F52A18" w:rsidRPr="00BB2229" w:rsidRDefault="00F52A18" w:rsidP="00586D12">
                            <w:pPr>
                              <w:pBdr>
                                <w:left w:val="single" w:sz="4" w:space="4" w:color="3597EB" w:themeColor="accent2"/>
                              </w:pBdr>
                              <w:spacing w:after="0"/>
                              <w:jc w:val="right"/>
                              <w:rPr>
                                <w:color w:val="3597EB" w:themeColor="accent2"/>
                                <w:sz w:val="24"/>
                              </w:rPr>
                            </w:pPr>
                            <w:r>
                              <w:rPr>
                                <w:color w:val="3597EB" w:themeColor="accent2"/>
                                <w:sz w:val="24"/>
                              </w:rPr>
                              <w:t xml:space="preserve">An Ahmadiyya in Bogor said: “In </w:t>
                            </w:r>
                            <w:proofErr w:type="spellStart"/>
                            <w:r>
                              <w:rPr>
                                <w:color w:val="3597EB" w:themeColor="accent2"/>
                                <w:sz w:val="24"/>
                              </w:rPr>
                              <w:t>Sindang</w:t>
                            </w:r>
                            <w:proofErr w:type="spellEnd"/>
                            <w:r>
                              <w:rPr>
                                <w:color w:val="3597EB" w:themeColor="accent2"/>
                                <w:sz w:val="24"/>
                              </w:rPr>
                              <w:t xml:space="preserve"> </w:t>
                            </w:r>
                            <w:proofErr w:type="spellStart"/>
                            <w:r>
                              <w:rPr>
                                <w:color w:val="3597EB" w:themeColor="accent2"/>
                                <w:sz w:val="24"/>
                              </w:rPr>
                              <w:t>Barang</w:t>
                            </w:r>
                            <w:proofErr w:type="spellEnd"/>
                            <w:r>
                              <w:rPr>
                                <w:color w:val="3597EB" w:themeColor="accent2"/>
                                <w:sz w:val="24"/>
                              </w:rPr>
                              <w:t xml:space="preserve">, once I found a banner </w:t>
                            </w:r>
                            <w:r w:rsidRPr="00586D12">
                              <w:rPr>
                                <w:color w:val="3597EB" w:themeColor="accent2"/>
                                <w:sz w:val="24"/>
                              </w:rPr>
                              <w:t>inciting hatred against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785A8" id="_x0000_s1027" type="#_x0000_t202" style="position:absolute;left:0;text-align:left;margin-left:330.3pt;margin-top:3.8pt;width:184.7pt;height:85.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bzIgIAACQEAAAOAAAAZHJzL2Uyb0RvYy54bWysU9uO2yAQfa/Uf0C8N3bcJE2sOKtttqkq&#10;bS/Sbj8AYxyjAkOBxE6/vgNO0mj7VpUHxDDDYebMmfXdoBU5CuclmIpOJzklwnBopNlX9Pvz7s2S&#10;Eh+YaZgCIyp6Ep7ebV6/Wve2FAV0oBrhCIIYX/a2ol0ItswyzzuhmZ+AFQadLTjNAppunzWO9Yiu&#10;VVbk+SLrwTXWARfe4+3D6KSbhN+2goevbetFIKqimFtIu0t7Hfdss2bl3jHbSX5Og/1DFppJg59e&#10;oR5YYOTg5F9QWnIHHtow4aAzaFvJRaoBq5nmL6p56pgVqRYkx9srTf7/wfIvx2+OyAZ7N6fEMI09&#10;ehZDIO9hIEWkp7e+xKgni3FhwGsMTaV6+wj8hycGth0ze3HvHPSdYA2mN40vs5unI46PIHX/GRr8&#10;hh0CJKChdTpyh2wQRMc2na6tialwvCzezuaLFbo4+qb5crVYpOZlrLw8t86HjwI0iYeKOux9gmfH&#10;Rx9iOqy8hMTfPCjZ7KRSyXD7eqscOTLUyS6tVMGLMGVIX9HVvJgnZAPxfZKQlgF1rKSu6DKPa1RW&#10;pOODaVJIYFKNZ8xEmTM/kZKRnDDUw9iJC+01NCckzMEoWxwzPHTgflHSo2Qr6n8emBOUqE8GSV9N&#10;Z7Oo8WTM5u8KNNytp771MMMRqqKBkvG4DWkuIh0G7rE5rUy0xS6OmZxTRikmNs9jE7V+a6eoP8O9&#10;+Q0AAP//AwBQSwMEFAAGAAgAAAAhAIuJXQ3dAAAACgEAAA8AAABkcnMvZG93bnJldi54bWxMj8FO&#10;wzAQRO9I/IO1SFwQtSng0BCnAiRQry39gE3sJhHxOordJv17tic47a5mNPumWM++Fyc3xi6QgYeF&#10;AuGoDrajxsD++/P+BURMSBb7QM7A2UVYl9dXBeY2TLR1p11qBIdQzNFAm9KQSxnr1nmMizA4Yu0Q&#10;Ro+Jz7GRdsSJw30vl0pp6bEj/tDi4D5aV//sjt7AYTPdPa+m6ivts+2Tfscuq8LZmNub+e0VRHJz&#10;+jPDBZ/RoWSmKhzJRtEb0FppthrIeFx09ai4XMVbtlqCLAv5v0L5CwAA//8DAFBLAQItABQABgAI&#10;AAAAIQC2gziS/gAAAOEBAAATAAAAAAAAAAAAAAAAAAAAAABbQ29udGVudF9UeXBlc10ueG1sUEsB&#10;Ai0AFAAGAAgAAAAhADj9If/WAAAAlAEAAAsAAAAAAAAAAAAAAAAALwEAAF9yZWxzLy5yZWxzUEsB&#10;Ai0AFAAGAAgAAAAhAK2nNvMiAgAAJAQAAA4AAAAAAAAAAAAAAAAALgIAAGRycy9lMm9Eb2MueG1s&#10;UEsBAi0AFAAGAAgAAAAhAIuJXQ3dAAAACgEAAA8AAAAAAAAAAAAAAAAAfAQAAGRycy9kb3ducmV2&#10;LnhtbFBLBQYAAAAABAAEAPMAAACGBQAAAAA=&#10;" stroked="f">
                <v:textbox>
                  <w:txbxContent>
                    <w:p w14:paraId="10EAD948" w14:textId="78A3EE03" w:rsidR="00F52A18" w:rsidRPr="00BB2229" w:rsidRDefault="00F52A18" w:rsidP="00586D12">
                      <w:pPr>
                        <w:pBdr>
                          <w:left w:val="single" w:sz="4" w:space="4" w:color="3597EB" w:themeColor="accent2"/>
                        </w:pBdr>
                        <w:spacing w:after="0"/>
                        <w:jc w:val="right"/>
                        <w:rPr>
                          <w:color w:val="3597EB" w:themeColor="accent2"/>
                          <w:sz w:val="24"/>
                        </w:rPr>
                      </w:pPr>
                      <w:r>
                        <w:rPr>
                          <w:color w:val="3597EB" w:themeColor="accent2"/>
                          <w:sz w:val="24"/>
                        </w:rPr>
                        <w:t xml:space="preserve">An Ahmadiyya in Bogor said: “In </w:t>
                      </w:r>
                      <w:proofErr w:type="spellStart"/>
                      <w:r>
                        <w:rPr>
                          <w:color w:val="3597EB" w:themeColor="accent2"/>
                          <w:sz w:val="24"/>
                        </w:rPr>
                        <w:t>Sindang</w:t>
                      </w:r>
                      <w:proofErr w:type="spellEnd"/>
                      <w:r>
                        <w:rPr>
                          <w:color w:val="3597EB" w:themeColor="accent2"/>
                          <w:sz w:val="24"/>
                        </w:rPr>
                        <w:t xml:space="preserve"> </w:t>
                      </w:r>
                      <w:proofErr w:type="spellStart"/>
                      <w:r>
                        <w:rPr>
                          <w:color w:val="3597EB" w:themeColor="accent2"/>
                          <w:sz w:val="24"/>
                        </w:rPr>
                        <w:t>Barang</w:t>
                      </w:r>
                      <w:proofErr w:type="spellEnd"/>
                      <w:r>
                        <w:rPr>
                          <w:color w:val="3597EB" w:themeColor="accent2"/>
                          <w:sz w:val="24"/>
                        </w:rPr>
                        <w:t xml:space="preserve">, once I found a banner </w:t>
                      </w:r>
                      <w:r w:rsidRPr="00586D12">
                        <w:rPr>
                          <w:color w:val="3597EB" w:themeColor="accent2"/>
                          <w:sz w:val="24"/>
                        </w:rPr>
                        <w:t>inciting hatred against us”</w:t>
                      </w:r>
                    </w:p>
                  </w:txbxContent>
                </v:textbox>
                <w10:wrap type="square" anchorx="margin"/>
              </v:shape>
            </w:pict>
          </mc:Fallback>
        </mc:AlternateContent>
      </w:r>
      <w:r>
        <w:t>Comparing the five</w:t>
      </w:r>
      <w:r w:rsidR="003B19F8">
        <w:t xml:space="preserve"> area</w:t>
      </w:r>
      <w:r>
        <w:t>s</w:t>
      </w:r>
      <w:r w:rsidR="003B19F8">
        <w:t>, it is most likely for Ahmadis to have ex</w:t>
      </w:r>
      <w:r w:rsidR="00860A3F">
        <w:t>perienced violence in the past five</w:t>
      </w:r>
      <w:r w:rsidR="003B19F8">
        <w:t xml:space="preserve"> years i</w:t>
      </w:r>
      <w:r>
        <w:t>n Tasikmalaya</w:t>
      </w:r>
      <w:r w:rsidR="005E5D21">
        <w:t>, Sukabumi</w:t>
      </w:r>
      <w:r>
        <w:t xml:space="preserve"> and Kuningan. Annex 1 </w:t>
      </w:r>
      <w:r w:rsidR="003B19F8">
        <w:t>show</w:t>
      </w:r>
      <w:r w:rsidR="00860A3F">
        <w:t>s the types of violence that have</w:t>
      </w:r>
      <w:r w:rsidR="003B19F8">
        <w:t xml:space="preserve"> occurred</w:t>
      </w:r>
      <w:r w:rsidR="00860A3F">
        <w:t xml:space="preserve"> against Ahmadiyya in the last five</w:t>
      </w:r>
      <w:r w:rsidR="003B19F8">
        <w:t xml:space="preserve"> years. </w:t>
      </w:r>
      <w:r>
        <w:t>It shows violence against individual</w:t>
      </w:r>
      <w:r w:rsidR="001A5C7D">
        <w:t xml:space="preserve"> members not</w:t>
      </w:r>
      <w:r>
        <w:t xml:space="preserve"> against the community as a whole or places of worship.</w:t>
      </w:r>
    </w:p>
    <w:p w14:paraId="0C0E5EF1" w14:textId="77777777" w:rsidR="003B19F8" w:rsidRPr="003B19F8" w:rsidRDefault="003B19F8" w:rsidP="003B19F8">
      <w:pPr>
        <w:rPr>
          <w:lang w:val="en-GB"/>
        </w:rPr>
      </w:pPr>
      <w:r>
        <w:rPr>
          <w:lang w:val="en-GB"/>
        </w:rPr>
        <w:t xml:space="preserve">The three </w:t>
      </w:r>
      <w:r w:rsidRPr="003B19F8">
        <w:rPr>
          <w:lang w:val="en-GB"/>
        </w:rPr>
        <w:t>most experienced kinds of violence</w:t>
      </w:r>
      <w:r>
        <w:rPr>
          <w:lang w:val="en-GB"/>
        </w:rPr>
        <w:t xml:space="preserve"> are</w:t>
      </w:r>
      <w:r w:rsidRPr="003B19F8">
        <w:rPr>
          <w:lang w:val="en-GB"/>
        </w:rPr>
        <w:t>:</w:t>
      </w:r>
    </w:p>
    <w:p w14:paraId="1E5D027E" w14:textId="77777777" w:rsidR="003B19F8" w:rsidRPr="003B19F8" w:rsidRDefault="003B19F8" w:rsidP="003B19F8">
      <w:pPr>
        <w:ind w:firstLine="720"/>
        <w:rPr>
          <w:lang w:val="en-GB"/>
        </w:rPr>
      </w:pPr>
      <w:r w:rsidRPr="003B19F8">
        <w:rPr>
          <w:lang w:val="en-GB"/>
        </w:rPr>
        <w:t>1. Verbally expressed hatred</w:t>
      </w:r>
      <w:r>
        <w:rPr>
          <w:lang w:val="en-GB"/>
        </w:rPr>
        <w:t xml:space="preserve"> (including hate speech)</w:t>
      </w:r>
    </w:p>
    <w:p w14:paraId="7135656D" w14:textId="77777777" w:rsidR="003B19F8" w:rsidRPr="003B19F8" w:rsidRDefault="003B19F8" w:rsidP="003B19F8">
      <w:pPr>
        <w:ind w:firstLine="720"/>
        <w:rPr>
          <w:lang w:val="en-GB"/>
        </w:rPr>
      </w:pPr>
      <w:r>
        <w:rPr>
          <w:lang w:val="en-GB"/>
        </w:rPr>
        <w:t xml:space="preserve">2. </w:t>
      </w:r>
      <w:r w:rsidRPr="003B19F8">
        <w:rPr>
          <w:lang w:val="en-GB"/>
        </w:rPr>
        <w:t>Received violent t</w:t>
      </w:r>
      <w:r w:rsidR="00C820DA">
        <w:rPr>
          <w:lang w:val="en-GB"/>
        </w:rPr>
        <w:t>hreat from a mass organization</w:t>
      </w:r>
    </w:p>
    <w:p w14:paraId="2880F5A5" w14:textId="77777777" w:rsidR="006E288B" w:rsidRPr="006E288B" w:rsidRDefault="003B19F8" w:rsidP="003B19F8">
      <w:pPr>
        <w:ind w:firstLine="720"/>
        <w:rPr>
          <w:lang w:val="en-GB"/>
        </w:rPr>
      </w:pPr>
      <w:r w:rsidRPr="003B19F8">
        <w:rPr>
          <w:lang w:val="en-GB"/>
        </w:rPr>
        <w:t>3. Discrimination perpetrated by the government (national or local)</w:t>
      </w:r>
    </w:p>
    <w:p w14:paraId="3C72BFC7" w14:textId="2FE1A5D6" w:rsidR="001A5C7D" w:rsidRDefault="00123974" w:rsidP="00D60044">
      <w:pPr>
        <w:rPr>
          <w:lang w:val="en-GB"/>
        </w:rPr>
      </w:pPr>
      <w:r>
        <w:rPr>
          <w:lang w:val="en-GB"/>
        </w:rPr>
        <w:t xml:space="preserve">Men are less likely to experience violence in comparison to women. </w:t>
      </w:r>
      <w:r w:rsidR="001A5C7D">
        <w:rPr>
          <w:lang w:val="en-GB"/>
        </w:rPr>
        <w:t>Women are facing more verbally expressed hatred and discrimination perpet</w:t>
      </w:r>
      <w:r>
        <w:rPr>
          <w:lang w:val="en-GB"/>
        </w:rPr>
        <w:t>rated by the government</w:t>
      </w:r>
      <w:r w:rsidR="001A5C7D">
        <w:rPr>
          <w:lang w:val="en-GB"/>
        </w:rPr>
        <w:t xml:space="preserve">. In </w:t>
      </w:r>
      <w:r>
        <w:rPr>
          <w:lang w:val="en-GB"/>
        </w:rPr>
        <w:t xml:space="preserve">the FGD in </w:t>
      </w:r>
      <w:r w:rsidR="001A5C7D">
        <w:rPr>
          <w:lang w:val="en-GB"/>
        </w:rPr>
        <w:t xml:space="preserve">Depok, a woman told about her sister: </w:t>
      </w:r>
      <w:r w:rsidR="001A5C7D" w:rsidRPr="00860A3F">
        <w:rPr>
          <w:rStyle w:val="QuoteChar"/>
        </w:rPr>
        <w:t>“My sister has encountered physical violence, when she was walking on the street. People screamed to her and</w:t>
      </w:r>
      <w:r w:rsidR="00860A3F">
        <w:rPr>
          <w:rStyle w:val="QuoteChar"/>
        </w:rPr>
        <w:t xml:space="preserve"> threw stones at</w:t>
      </w:r>
      <w:r w:rsidR="001A5C7D" w:rsidRPr="00860A3F">
        <w:rPr>
          <w:rStyle w:val="QuoteChar"/>
        </w:rPr>
        <w:t xml:space="preserve"> her”</w:t>
      </w:r>
    </w:p>
    <w:p w14:paraId="765C75E8" w14:textId="50F4B754" w:rsidR="00237692" w:rsidRPr="003B19F8" w:rsidRDefault="00B92C21" w:rsidP="00D60044">
      <w:pPr>
        <w:rPr>
          <w:lang w:val="en-GB"/>
        </w:rPr>
      </w:pPr>
      <w:r>
        <w:rPr>
          <w:lang w:val="en-GB"/>
        </w:rPr>
        <w:t>In most cases, violence against members of Ahmadiyya is perpetrated by people from outside their own community. The main intention is to attack the members or their places of worship. The Ahmadis explained in the FGDs that o</w:t>
      </w:r>
      <w:r w:rsidR="00237692">
        <w:rPr>
          <w:lang w:val="en-GB"/>
        </w:rPr>
        <w:t>fte</w:t>
      </w:r>
      <w:r>
        <w:rPr>
          <w:lang w:val="en-GB"/>
        </w:rPr>
        <w:t>n they do not know the people who attack them</w:t>
      </w:r>
      <w:r w:rsidR="00237692">
        <w:rPr>
          <w:lang w:val="en-GB"/>
        </w:rPr>
        <w:t>, but they do know the organization</w:t>
      </w:r>
      <w:r w:rsidR="00860A3F">
        <w:rPr>
          <w:lang w:val="en-GB"/>
        </w:rPr>
        <w:t>s</w:t>
      </w:r>
      <w:r w:rsidR="00237692">
        <w:rPr>
          <w:lang w:val="en-GB"/>
        </w:rPr>
        <w:t xml:space="preserve"> they represent.</w:t>
      </w:r>
    </w:p>
    <w:p w14:paraId="5424439C" w14:textId="77777777" w:rsidR="006E288B" w:rsidRDefault="00A8140D" w:rsidP="006E288B">
      <w:pPr>
        <w:pStyle w:val="Heading2"/>
      </w:pPr>
      <w:bookmarkStart w:id="21" w:name="_Toc477294874"/>
      <w:r>
        <w:t>Expectation next five</w:t>
      </w:r>
      <w:r w:rsidR="006E288B">
        <w:t xml:space="preserve"> years</w:t>
      </w:r>
      <w:bookmarkEnd w:id="21"/>
    </w:p>
    <w:p w14:paraId="2C06E19B" w14:textId="1C05D8B1" w:rsidR="00E82E93" w:rsidRPr="00E82E93" w:rsidRDefault="00E82E93" w:rsidP="00E82E93">
      <w:r w:rsidRPr="00E82E93">
        <w:t>With regards to the situation of the past five years, members of Ahmadiyya community are generally positive that it will improve over the next five years. The majority of respondents (66.75%) declared the incidents of violence decreased in the past five years. More than half of</w:t>
      </w:r>
      <w:r w:rsidRPr="00E82E93">
        <w:rPr>
          <w:lang w:val="en-AU"/>
        </w:rPr>
        <w:t xml:space="preserve"> </w:t>
      </w:r>
    </w:p>
    <w:p w14:paraId="2C450FB6" w14:textId="77777777" w:rsidR="00A8140D" w:rsidRDefault="00A8140D" w:rsidP="00D60044">
      <w:r>
        <w:rPr>
          <w:noProof/>
        </w:rPr>
        <w:drawing>
          <wp:inline distT="0" distB="0" distL="0" distR="0" wp14:anchorId="12BA575B" wp14:editId="1D0CC848">
            <wp:extent cx="5737860" cy="250317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7875BB" w14:textId="7A2D33B4" w:rsidR="00A8140D" w:rsidRDefault="00E82E93" w:rsidP="00A8140D">
      <w:pPr>
        <w:pStyle w:val="Caption"/>
      </w:pPr>
      <w:r>
        <w:t>Figure 11</w:t>
      </w:r>
      <w:r w:rsidR="00A8140D">
        <w:t>: Increase and decrease of violence in last and next 5 years</w:t>
      </w:r>
    </w:p>
    <w:p w14:paraId="5824510A" w14:textId="3C1EF55E" w:rsidR="00B92C21" w:rsidRDefault="00D3340C" w:rsidP="00094CF9">
      <w:pPr>
        <w:rPr>
          <w:lang w:val="en-AU"/>
        </w:rPr>
      </w:pPr>
      <w:r w:rsidRPr="006266CF">
        <w:rPr>
          <w:noProof/>
        </w:rPr>
        <w:lastRenderedPageBreak/>
        <mc:AlternateContent>
          <mc:Choice Requires="wps">
            <w:drawing>
              <wp:anchor distT="45720" distB="45720" distL="114300" distR="114300" simplePos="0" relativeHeight="251681792" behindDoc="0" locked="0" layoutInCell="1" allowOverlap="1" wp14:anchorId="357FC34C" wp14:editId="29C4D4AE">
                <wp:simplePos x="0" y="0"/>
                <wp:positionH relativeFrom="margin">
                  <wp:posOffset>4015740</wp:posOffset>
                </wp:positionH>
                <wp:positionV relativeFrom="paragraph">
                  <wp:posOffset>1705610</wp:posOffset>
                </wp:positionV>
                <wp:extent cx="2148840" cy="2202180"/>
                <wp:effectExtent l="0" t="0" r="3810" b="762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2202180"/>
                        </a:xfrm>
                        <a:prstGeom prst="rect">
                          <a:avLst/>
                        </a:prstGeom>
                        <a:solidFill>
                          <a:srgbClr val="FFFFFF"/>
                        </a:solidFill>
                        <a:ln w="9525">
                          <a:noFill/>
                          <a:miter lim="800000"/>
                          <a:headEnd/>
                          <a:tailEnd/>
                        </a:ln>
                      </wps:spPr>
                      <wps:txbx>
                        <w:txbxContent>
                          <w:p w14:paraId="3FE5A0A9" w14:textId="5D3538DB" w:rsidR="00F52A18" w:rsidRPr="00BB2229" w:rsidRDefault="00F52A18" w:rsidP="00D3340C">
                            <w:pPr>
                              <w:pBdr>
                                <w:left w:val="single" w:sz="4" w:space="4" w:color="3597EB" w:themeColor="accent2"/>
                              </w:pBdr>
                              <w:spacing w:after="0"/>
                              <w:jc w:val="right"/>
                              <w:rPr>
                                <w:color w:val="3597EB" w:themeColor="accent2"/>
                                <w:sz w:val="24"/>
                              </w:rPr>
                            </w:pPr>
                            <w:r>
                              <w:rPr>
                                <w:color w:val="3597EB" w:themeColor="accent2"/>
                                <w:sz w:val="24"/>
                              </w:rPr>
                              <w:t xml:space="preserve">An Ahmadiyya men in Tasikmalaya said: </w:t>
                            </w:r>
                            <w:r w:rsidRPr="009E4200">
                              <w:rPr>
                                <w:color w:val="3597EB" w:themeColor="accent2"/>
                                <w:sz w:val="24"/>
                              </w:rPr>
                              <w:t>“</w:t>
                            </w:r>
                            <w:r>
                              <w:rPr>
                                <w:color w:val="3597EB" w:themeColor="accent2"/>
                                <w:sz w:val="24"/>
                              </w:rPr>
                              <w:t>I’m optimistic the curre</w:t>
                            </w:r>
                            <w:r w:rsidRPr="00D3340C">
                              <w:rPr>
                                <w:color w:val="3597EB" w:themeColor="accent2"/>
                                <w:sz w:val="24"/>
                              </w:rPr>
                              <w:t>nt president will implement better solutions, not only for Ahmadiyya, but also for this country that is accord</w:t>
                            </w:r>
                            <w:r>
                              <w:rPr>
                                <w:color w:val="3597EB" w:themeColor="accent2"/>
                                <w:sz w:val="24"/>
                              </w:rPr>
                              <w:t>ing to the constitution as well</w:t>
                            </w:r>
                            <w:r w:rsidRPr="0064680A">
                              <w:rPr>
                                <w:color w:val="3597EB" w:themeColor="accent2"/>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FC34C" id="_x0000_s1028" type="#_x0000_t202" style="position:absolute;left:0;text-align:left;margin-left:316.2pt;margin-top:134.3pt;width:169.2pt;height:173.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RSIQIAACQEAAAOAAAAZHJzL2Uyb0RvYy54bWysU9tuGyEQfa/Uf0C813up3Torr6PUqatK&#10;6UVK+gEsy3pRgaGAvet+fQbWcazkrSoPiGGGw5kzM6vrUStyEM5LMDUtZjklwnBopdnV9NfD9t2S&#10;Eh+YaZkCI2p6FJ5er9++WQ22EiX0oFrhCIIYXw22pn0Itsoyz3uhmZ+BFQadHTjNAppul7WODYiu&#10;VVbm+YdsANdaB1x4j7e3k5OuE37XCR5+dJ0XgaiaIreQdpf2Ju7ZesWqnWO2l/xEg/0DC82kwU/P&#10;ULcsMLJ38hWUltyBhy7MOOgMuk5ykXLAbIr8RTb3PbMi5YLieHuWyf8/WP798NMR2db0PcpjmMYa&#10;PYgxkE8wkjLKM1hfYdS9xbgw4jWWOaXq7R3w354Y2PTM7MSNczD0grVIr4gvs4unE46PIM3wDVr8&#10;hu0DJKCxczpqh2oQREcex3NpIhWOl2UxXy7n6OLoK8u8LJapeBmrnp5b58MXAZrEQ00d1j7Bs8Od&#10;D5EOq55C4m8elGy3UqlkuF2zUY4cGPbJNq2UwYswZchQ06tFuUjIBuL71EJaBuxjJXVNl3lcU2dF&#10;OT6bNoUEJtV0RibKnPSJkkzihLEZUyXOsjfQHlEwB1Pb4pjhoQf3l5IBW7am/s+eOUGJ+mpQ9Kti&#10;HhUKyZgvPpZouEtPc+lhhiNUTQMl03ET0lxEOQzcYHE6mWSLVZyYnChjKyY1T2MTe/3STlHPw71+&#10;BAAA//8DAFBLAwQUAAYACAAAACEAIC3YyN8AAAALAQAADwAAAGRycy9kb3ducmV2LnhtbEyP0U6D&#10;QBBF3038h82Y+GLsUqRLS1kaNdH42toPGGALpOwsYbeF/r3jkz5O7smdc/PdbHtxNaPvHGlYLiIQ&#10;hipXd9RoOH5/PK9B+IBUY+/IaLgZD7vi/i7HrHYT7c31EBrBJeQz1NCGMGRS+qo1Fv3CDYY4O7nR&#10;YuBzbGQ94sTltpdxFClpsSP+0OJg3ltTnQ8Xq+H0NT2tNlP5GY7pPlFv2KWlu2n9+DC/bkEEM4c/&#10;GH71WR0KdirdhWoveg3qJU4Y1RCrtQLBxCaNeEzJ0XKVgCxy+X9D8QMAAP//AwBQSwECLQAUAAYA&#10;CAAAACEAtoM4kv4AAADhAQAAEwAAAAAAAAAAAAAAAAAAAAAAW0NvbnRlbnRfVHlwZXNdLnhtbFBL&#10;AQItABQABgAIAAAAIQA4/SH/1gAAAJQBAAALAAAAAAAAAAAAAAAAAC8BAABfcmVscy8ucmVsc1BL&#10;AQItABQABgAIAAAAIQBWBKRSIQIAACQEAAAOAAAAAAAAAAAAAAAAAC4CAABkcnMvZTJvRG9jLnht&#10;bFBLAQItABQABgAIAAAAIQAgLdjI3wAAAAsBAAAPAAAAAAAAAAAAAAAAAHsEAABkcnMvZG93bnJl&#10;di54bWxQSwUGAAAAAAQABADzAAAAhwUAAAAA&#10;" stroked="f">
                <v:textbox>
                  <w:txbxContent>
                    <w:p w14:paraId="3FE5A0A9" w14:textId="5D3538DB" w:rsidR="00F52A18" w:rsidRPr="00BB2229" w:rsidRDefault="00F52A18" w:rsidP="00D3340C">
                      <w:pPr>
                        <w:pBdr>
                          <w:left w:val="single" w:sz="4" w:space="4" w:color="3597EB" w:themeColor="accent2"/>
                        </w:pBdr>
                        <w:spacing w:after="0"/>
                        <w:jc w:val="right"/>
                        <w:rPr>
                          <w:color w:val="3597EB" w:themeColor="accent2"/>
                          <w:sz w:val="24"/>
                        </w:rPr>
                      </w:pPr>
                      <w:r>
                        <w:rPr>
                          <w:color w:val="3597EB" w:themeColor="accent2"/>
                          <w:sz w:val="24"/>
                        </w:rPr>
                        <w:t xml:space="preserve">An Ahmadiyya men in Tasikmalaya said: </w:t>
                      </w:r>
                      <w:r w:rsidRPr="009E4200">
                        <w:rPr>
                          <w:color w:val="3597EB" w:themeColor="accent2"/>
                          <w:sz w:val="24"/>
                        </w:rPr>
                        <w:t>“</w:t>
                      </w:r>
                      <w:r>
                        <w:rPr>
                          <w:color w:val="3597EB" w:themeColor="accent2"/>
                          <w:sz w:val="24"/>
                        </w:rPr>
                        <w:t>I’m optimistic the curre</w:t>
                      </w:r>
                      <w:r w:rsidRPr="00D3340C">
                        <w:rPr>
                          <w:color w:val="3597EB" w:themeColor="accent2"/>
                          <w:sz w:val="24"/>
                        </w:rPr>
                        <w:t xml:space="preserve">nt president will implement better solutions, not only for Ahmadiyya, but also for this country that is </w:t>
                      </w:r>
                      <w:r w:rsidRPr="00D3340C">
                        <w:rPr>
                          <w:color w:val="3597EB" w:themeColor="accent2"/>
                          <w:sz w:val="24"/>
                        </w:rPr>
                        <w:t>accord</w:t>
                      </w:r>
                      <w:r>
                        <w:rPr>
                          <w:color w:val="3597EB" w:themeColor="accent2"/>
                          <w:sz w:val="24"/>
                        </w:rPr>
                        <w:t>ing to the constitution as well</w:t>
                      </w:r>
                      <w:r w:rsidRPr="0064680A">
                        <w:rPr>
                          <w:color w:val="3597EB" w:themeColor="accent2"/>
                          <w:sz w:val="24"/>
                        </w:rPr>
                        <w:t>”</w:t>
                      </w:r>
                    </w:p>
                  </w:txbxContent>
                </v:textbox>
                <w10:wrap type="square" anchorx="margin"/>
              </v:shape>
            </w:pict>
          </mc:Fallback>
        </mc:AlternateContent>
      </w:r>
      <w:r w:rsidR="00E82E93" w:rsidRPr="00E82E93">
        <w:rPr>
          <w:lang w:val="en-AU"/>
        </w:rPr>
        <w:t>t</w:t>
      </w:r>
      <w:r w:rsidR="00E82E93" w:rsidRPr="00E82E93">
        <w:t>he respondents (54.75%) are confident that it will decrease in the upcoming five years.</w:t>
      </w:r>
      <w:r w:rsidR="00E82E93">
        <w:t xml:space="preserve"> </w:t>
      </w:r>
      <w:r w:rsidR="00E82E93" w:rsidRPr="00E82E93">
        <w:t>Interestingly, the respondents who experienced violence in the last five years are positive about the coming five years. They also believe that the incid</w:t>
      </w:r>
      <w:r w:rsidR="00E82E93">
        <w:t>ences of violence</w:t>
      </w:r>
      <w:r w:rsidR="00E82E93" w:rsidRPr="00E82E93">
        <w:t xml:space="preserve"> are likely to decrease or stay the same. Figures from </w:t>
      </w:r>
      <w:proofErr w:type="spellStart"/>
      <w:r w:rsidR="00E82E93" w:rsidRPr="00E82E93">
        <w:t>Setara</w:t>
      </w:r>
      <w:proofErr w:type="spellEnd"/>
      <w:r w:rsidR="00E82E93" w:rsidRPr="00E82E93">
        <w:t xml:space="preserve"> Institute have shown a decrease as well in violence in the last five years towards Ahmadiyya, but it has also shown an increase in 2016, from 13 incidents in 2015 to 27 incidents in 2016.</w:t>
      </w:r>
      <w:r w:rsidR="00E82E93" w:rsidRPr="00E82E93">
        <w:rPr>
          <w:sz w:val="18"/>
          <w:vertAlign w:val="superscript"/>
        </w:rPr>
        <w:footnoteReference w:id="11"/>
      </w:r>
      <w:r w:rsidR="00E82E93" w:rsidRPr="00E82E93">
        <w:t xml:space="preserve"> A logical explanation for the increase are the regional elections in Indonesia in February 2017. Months before an election, social tensions rise, where religious minorities are often targeted by Hard</w:t>
      </w:r>
      <w:r w:rsidR="00E82E93">
        <w:t>-</w:t>
      </w:r>
      <w:r w:rsidR="00E82E93" w:rsidRPr="00E82E93">
        <w:t>line Muslim groups and politicians.</w:t>
      </w:r>
    </w:p>
    <w:p w14:paraId="7C28E9D5" w14:textId="7290FB98" w:rsidR="00CF5997" w:rsidRDefault="00927146" w:rsidP="00D60044">
      <w:pPr>
        <w:rPr>
          <w:lang w:val="en-AU"/>
        </w:rPr>
      </w:pPr>
      <w:r w:rsidRPr="006266CF">
        <w:rPr>
          <w:noProof/>
        </w:rPr>
        <mc:AlternateContent>
          <mc:Choice Requires="wps">
            <w:drawing>
              <wp:anchor distT="45720" distB="45720" distL="114300" distR="114300" simplePos="0" relativeHeight="251683840" behindDoc="0" locked="0" layoutInCell="1" allowOverlap="1" wp14:anchorId="022BEBA4" wp14:editId="7FBC64CB">
                <wp:simplePos x="0" y="0"/>
                <wp:positionH relativeFrom="margin">
                  <wp:posOffset>-80010</wp:posOffset>
                </wp:positionH>
                <wp:positionV relativeFrom="paragraph">
                  <wp:posOffset>1539240</wp:posOffset>
                </wp:positionV>
                <wp:extent cx="2148840" cy="1767840"/>
                <wp:effectExtent l="0" t="0" r="3810" b="381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767840"/>
                        </a:xfrm>
                        <a:prstGeom prst="rect">
                          <a:avLst/>
                        </a:prstGeom>
                        <a:solidFill>
                          <a:srgbClr val="FFFFFF"/>
                        </a:solidFill>
                        <a:ln w="9525">
                          <a:noFill/>
                          <a:miter lim="800000"/>
                          <a:headEnd/>
                          <a:tailEnd/>
                        </a:ln>
                      </wps:spPr>
                      <wps:txbx>
                        <w:txbxContent>
                          <w:p w14:paraId="709FDC46" w14:textId="3A8B661B" w:rsidR="00F52A18" w:rsidRPr="00BB2229" w:rsidRDefault="00F52A18" w:rsidP="00927146">
                            <w:pPr>
                              <w:pBdr>
                                <w:left w:val="single" w:sz="4" w:space="4" w:color="3597EB" w:themeColor="accent2"/>
                              </w:pBdr>
                              <w:spacing w:after="0"/>
                              <w:jc w:val="right"/>
                              <w:rPr>
                                <w:color w:val="3597EB" w:themeColor="accent2"/>
                                <w:sz w:val="24"/>
                              </w:rPr>
                            </w:pPr>
                            <w:r>
                              <w:rPr>
                                <w:color w:val="3597EB" w:themeColor="accent2"/>
                                <w:sz w:val="24"/>
                              </w:rPr>
                              <w:t xml:space="preserve">During the FGD in Depok, an Ahmadiyya men explained: </w:t>
                            </w:r>
                            <w:r w:rsidRPr="009E4200">
                              <w:rPr>
                                <w:color w:val="3597EB" w:themeColor="accent2"/>
                                <w:sz w:val="24"/>
                              </w:rPr>
                              <w:t>“</w:t>
                            </w:r>
                            <w:r>
                              <w:rPr>
                                <w:color w:val="3597EB" w:themeColor="accent2"/>
                                <w:sz w:val="24"/>
                              </w:rPr>
                              <w:t>Hardline Muslims who hates us now, will still hate us in the future and will keep on provoking us</w:t>
                            </w:r>
                            <w:r w:rsidRPr="0064680A">
                              <w:rPr>
                                <w:color w:val="3597EB" w:themeColor="accent2"/>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BEBA4" id="_x0000_s1029" type="#_x0000_t202" style="position:absolute;left:0;text-align:left;margin-left:-6.3pt;margin-top:121.2pt;width:169.2pt;height:139.2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9QIQIAACQEAAAOAAAAZHJzL2Uyb0RvYy54bWysU81u2zAMvg/YOwi6L46zpE2NOEWXLsOA&#10;7gdo9wC0LMfCZFGTlNjZ04+S0zTbbsN0EEiR/ER+JFe3Q6fZQTqv0JQ8n0w5k0Zgrcyu5N+etm+W&#10;nPkApgaNRpb8KD2/Xb9+teptIWfYoq6lYwRifNHbkrch2CLLvGhlB36CVhoyNug6CKS6XVY76Am9&#10;09lsOr3KenS1dSik9/R6Pxr5OuE3jRThS9N4GZguOeUW0u3SXcU7W6+g2DmwrRKnNOAfsuhAGfr0&#10;DHUPAdjeqb+gOiUcemzCRGCXYdMoIVMNVE0+/aOaxxasTLUQOd6eafL/D1Z8Pnx1TNUlf5tzZqCj&#10;Hj3JIbB3OLBZpKe3viCvR0t+YaBnanMq1dsHFN89M7hpwezknXPYtxJqSi+PkdlF6IjjI0jVf8Ka&#10;voF9wAQ0NK6L3BEbjNCpTcdza2Iqgh5n+Xy5nJNJkC2/vrqOSvwDiudw63z4ILFjUSi5o94neDg8&#10;+DC6PrvE3zxqVW+V1klxu2qjHTsAzck2nRP6b27asL7kN4vZIiEbjPEEDUWnAs2xVl3Jl9N4YjgU&#10;kY73pk5yAKVHmZLW5sRPpGQkJwzVMHYixkbuKqyPRJjDcWxpzUho0f3krKeRLbn/sQcnOdMfDZF+&#10;k88jQyEp88X1jBR3aakuLWAEQZU8cDaKm5D2IqZt8I6a06hE20smp5RpFBPxp7WJs36pJ6+X5V7/&#10;AgAA//8DAFBLAwQUAAYACAAAACEAu5E0FeAAAAALAQAADwAAAGRycy9kb3ducmV2LnhtbEyP0U6D&#10;QBBF3038h82Y+GLapSvQSlkaNdH42toPGGALpOwsYbeF/r3jkz5O5uTec/PdbHtxNaPvHGlYLSMQ&#10;hipXd9RoOH5/LDYgfECqsXdkNNyMh11xf5djVruJ9uZ6CI3gEPIZamhDGDIpfdUai37pBkP8O7nR&#10;YuBzbGQ94sThtpcqilJpsSNuaHEw762pzoeL1XD6mp6Sl6n8DMf1Pk7fsFuX7qb148P8ugURzBz+&#10;YPjVZ3Uo2Kl0F6q96DUsViplVIOKVQyCiWeV8JhSQ6KiDcgil/83FD8AAAD//wMAUEsBAi0AFAAG&#10;AAgAAAAhALaDOJL+AAAA4QEAABMAAAAAAAAAAAAAAAAAAAAAAFtDb250ZW50X1R5cGVzXS54bWxQ&#10;SwECLQAUAAYACAAAACEAOP0h/9YAAACUAQAACwAAAAAAAAAAAAAAAAAvAQAAX3JlbHMvLnJlbHNQ&#10;SwECLQAUAAYACAAAACEA6BZfUCECAAAkBAAADgAAAAAAAAAAAAAAAAAuAgAAZHJzL2Uyb0RvYy54&#10;bWxQSwECLQAUAAYACAAAACEAu5E0FeAAAAALAQAADwAAAAAAAAAAAAAAAAB7BAAAZHJzL2Rvd25y&#10;ZXYueG1sUEsFBgAAAAAEAAQA8wAAAIgFAAAAAA==&#10;" stroked="f">
                <v:textbox>
                  <w:txbxContent>
                    <w:p w14:paraId="709FDC46" w14:textId="3A8B661B" w:rsidR="00F52A18" w:rsidRPr="00BB2229" w:rsidRDefault="00F52A18" w:rsidP="00927146">
                      <w:pPr>
                        <w:pBdr>
                          <w:left w:val="single" w:sz="4" w:space="4" w:color="3597EB" w:themeColor="accent2"/>
                        </w:pBdr>
                        <w:spacing w:after="0"/>
                        <w:jc w:val="right"/>
                        <w:rPr>
                          <w:color w:val="3597EB" w:themeColor="accent2"/>
                          <w:sz w:val="24"/>
                        </w:rPr>
                      </w:pPr>
                      <w:r>
                        <w:rPr>
                          <w:color w:val="3597EB" w:themeColor="accent2"/>
                          <w:sz w:val="24"/>
                        </w:rPr>
                        <w:t xml:space="preserve">During the FGD in Depok, an Ahmadiyya men explained: </w:t>
                      </w:r>
                      <w:r w:rsidRPr="009E4200">
                        <w:rPr>
                          <w:color w:val="3597EB" w:themeColor="accent2"/>
                          <w:sz w:val="24"/>
                        </w:rPr>
                        <w:t>“</w:t>
                      </w:r>
                      <w:r>
                        <w:rPr>
                          <w:color w:val="3597EB" w:themeColor="accent2"/>
                          <w:sz w:val="24"/>
                        </w:rPr>
                        <w:t>Hardline Muslims who hates us now, will still hate us in the future and will keep on provoking us</w:t>
                      </w:r>
                      <w:r w:rsidRPr="0064680A">
                        <w:rPr>
                          <w:color w:val="3597EB" w:themeColor="accent2"/>
                          <w:sz w:val="24"/>
                        </w:rPr>
                        <w:t>”</w:t>
                      </w:r>
                    </w:p>
                  </w:txbxContent>
                </v:textbox>
                <w10:wrap type="square" anchorx="margin"/>
              </v:shape>
            </w:pict>
          </mc:Fallback>
        </mc:AlternateContent>
      </w:r>
      <w:r w:rsidR="00E82E93">
        <w:rPr>
          <w:lang w:val="en-AU"/>
        </w:rPr>
        <w:t>The most frequent elicited explanation for a decrease in violence in the next five years is the trust in the new Cabinet formed by Jokowi. He advocated during his election campaign to work on minority issues, including religious minority groups. But respondents also stated that the future will remain insecure if the promises of the new president made are not fulfilled.</w:t>
      </w:r>
    </w:p>
    <w:p w14:paraId="5104534E" w14:textId="0462D243" w:rsidR="00D60044" w:rsidRDefault="007375E9" w:rsidP="00D60044">
      <w:pPr>
        <w:rPr>
          <w:lang w:val="en-AU"/>
        </w:rPr>
      </w:pPr>
      <w:r>
        <w:rPr>
          <w:lang w:val="en-AU"/>
        </w:rPr>
        <w:t>The most given explanation for an increase or sim</w:t>
      </w:r>
      <w:r w:rsidR="002B105C">
        <w:rPr>
          <w:lang w:val="en-AU"/>
        </w:rPr>
        <w:t>ilar situation of violence derives</w:t>
      </w:r>
      <w:r>
        <w:rPr>
          <w:lang w:val="en-AU"/>
        </w:rPr>
        <w:t xml:space="preserve"> from the thought that intolerant groups are not changing their mind-set and they are growing in numbers. </w:t>
      </w:r>
      <w:r w:rsidR="00176B7F">
        <w:rPr>
          <w:lang w:val="en-AU"/>
        </w:rPr>
        <w:t>They also see that tolerance is a much-used concept, but</w:t>
      </w:r>
      <w:r w:rsidR="00E82E93">
        <w:rPr>
          <w:lang w:val="en-AU"/>
        </w:rPr>
        <w:t xml:space="preserve"> the concept is</w:t>
      </w:r>
      <w:r w:rsidR="00176B7F">
        <w:rPr>
          <w:lang w:val="en-AU"/>
        </w:rPr>
        <w:t xml:space="preserve"> not well educated or explained to the people that should know about it.</w:t>
      </w:r>
      <w:r w:rsidR="00927146" w:rsidRPr="00927146">
        <w:rPr>
          <w:noProof/>
        </w:rPr>
        <w:t xml:space="preserve"> </w:t>
      </w:r>
    </w:p>
    <w:p w14:paraId="2DFCC1CF" w14:textId="065A9BBD" w:rsidR="002B105C" w:rsidRDefault="00782522" w:rsidP="002B105C">
      <w:pPr>
        <w:rPr>
          <w:lang w:val="en-GB"/>
        </w:rPr>
      </w:pPr>
      <w:r>
        <w:rPr>
          <w:lang w:val="en-GB"/>
        </w:rPr>
        <w:t xml:space="preserve">In order to solve the issue of Ahmadiyya being regarded as a heretical sect, several government bodies recommend that the members should convert to Sunni Islam. Based on the survey, 25% of the members of Ahmadiyya have been approached to convert to Sunni Islam. </w:t>
      </w:r>
      <w:r w:rsidR="002B105C">
        <w:rPr>
          <w:lang w:val="en-GB"/>
        </w:rPr>
        <w:t xml:space="preserve">This is not perceived as a solution for any Ahmadiyya. </w:t>
      </w:r>
    </w:p>
    <w:p w14:paraId="54A4004F" w14:textId="77777777" w:rsidR="00D60044" w:rsidRDefault="00D60044" w:rsidP="00D60044"/>
    <w:p w14:paraId="32ACB5EF" w14:textId="3C31F8FA" w:rsidR="00D60044" w:rsidRDefault="00D60044" w:rsidP="00D60044"/>
    <w:p w14:paraId="4FAF11C2" w14:textId="7D97CAF5" w:rsidR="00782522" w:rsidRDefault="00782522" w:rsidP="00D60044"/>
    <w:p w14:paraId="41C07F81" w14:textId="0D6AC350" w:rsidR="00782522" w:rsidRDefault="00782522" w:rsidP="00D60044"/>
    <w:p w14:paraId="26CC667F" w14:textId="77777777" w:rsidR="00D60044" w:rsidRDefault="00D60044" w:rsidP="00D60044">
      <w:pPr>
        <w:pStyle w:val="Heading1"/>
      </w:pPr>
      <w:bookmarkStart w:id="22" w:name="_Toc477294875"/>
      <w:r>
        <w:lastRenderedPageBreak/>
        <w:t>Protection Mechanism</w:t>
      </w:r>
      <w:bookmarkEnd w:id="22"/>
    </w:p>
    <w:p w14:paraId="0A84D35B" w14:textId="2E81484E" w:rsidR="0079399E" w:rsidRDefault="008309D6" w:rsidP="00D60044">
      <w:r>
        <w:t xml:space="preserve">In every district and in every </w:t>
      </w:r>
      <w:r w:rsidR="00690635">
        <w:t>village,</w:t>
      </w:r>
      <w:r>
        <w:t xml:space="preserve"> there are specific challenges for Ahmadiyya. Whether the issue is with the government, police, hardline </w:t>
      </w:r>
      <w:r w:rsidR="001B06D5">
        <w:t xml:space="preserve">Muslim </w:t>
      </w:r>
      <w:r>
        <w:t>groups or the surrounding community, Ahmadis have found ways in order to protect themselves. This chapter informs about internal and external</w:t>
      </w:r>
      <w:r w:rsidR="00690635">
        <w:t xml:space="preserve"> mechanisms Ahmadis are using to fully participate in society, but also how to bounce back after an incident.</w:t>
      </w:r>
      <w:r w:rsidR="001B06D5">
        <w:t xml:space="preserve"> It also answers the question of what the main justice and sec</w:t>
      </w:r>
      <w:r w:rsidR="00AE2BE6">
        <w:t>urity concerns are of Ahmadiyya.</w:t>
      </w:r>
    </w:p>
    <w:p w14:paraId="24AD0CE6" w14:textId="77777777" w:rsidR="00690635" w:rsidRDefault="00690635" w:rsidP="00690635">
      <w:pPr>
        <w:pStyle w:val="Heading2"/>
      </w:pPr>
      <w:bookmarkStart w:id="23" w:name="_Toc477294876"/>
      <w:r>
        <w:t>Safety</w:t>
      </w:r>
      <w:bookmarkEnd w:id="23"/>
    </w:p>
    <w:p w14:paraId="5498BF27" w14:textId="1575A287" w:rsidR="00F752E4" w:rsidRDefault="00F752E4" w:rsidP="00F752E4">
      <w:r>
        <w:t>The vast majority of respondents feel safe in their own house, in their surroundings and in public spaces. The only place that is likely for an Ahmadiyya to not feel safe is in places of worship, although most of the Ahmadiyya also feel quite safe in there.</w:t>
      </w:r>
    </w:p>
    <w:p w14:paraId="7D6F8E06" w14:textId="77777777" w:rsidR="00824615" w:rsidRDefault="00824615" w:rsidP="00824615">
      <w:r>
        <w:t>The groups considered promoting intolerance towards them and the feeling of being unsafe is fueled by especially three organizations:</w:t>
      </w:r>
      <w:r>
        <w:tab/>
      </w:r>
    </w:p>
    <w:p w14:paraId="3BA870D8" w14:textId="77777777" w:rsidR="00824615" w:rsidRDefault="00824615" w:rsidP="009F417F">
      <w:pPr>
        <w:ind w:firstLine="720"/>
      </w:pPr>
      <w:r>
        <w:t>1. FPI</w:t>
      </w:r>
    </w:p>
    <w:p w14:paraId="47FDE144" w14:textId="77777777" w:rsidR="00824615" w:rsidRDefault="00824615" w:rsidP="009F417F">
      <w:pPr>
        <w:ind w:firstLine="720"/>
      </w:pPr>
      <w:r>
        <w:t>2. MUI</w:t>
      </w:r>
    </w:p>
    <w:p w14:paraId="71B7BC86" w14:textId="77777777" w:rsidR="00824615" w:rsidRDefault="00824615" w:rsidP="009F417F">
      <w:pPr>
        <w:ind w:firstLine="720"/>
      </w:pPr>
      <w:r>
        <w:t xml:space="preserve">3. </w:t>
      </w:r>
      <w:proofErr w:type="spellStart"/>
      <w:r>
        <w:t>Garis</w:t>
      </w:r>
      <w:proofErr w:type="spellEnd"/>
    </w:p>
    <w:p w14:paraId="35C3A012" w14:textId="304C34AE" w:rsidR="00E82E93" w:rsidRPr="00E82E93" w:rsidRDefault="00E82E93" w:rsidP="00E82E93">
      <w:r w:rsidRPr="00E82E93">
        <w:t xml:space="preserve">The Ahmadiyya community considers FPI </w:t>
      </w:r>
      <w:r w:rsidR="009E4F51" w:rsidRPr="006E3460">
        <w:t>(</w:t>
      </w:r>
      <w:r w:rsidR="009E4F51" w:rsidRPr="009E4F51">
        <w:rPr>
          <w:i/>
        </w:rPr>
        <w:t xml:space="preserve">Front </w:t>
      </w:r>
      <w:proofErr w:type="spellStart"/>
      <w:r w:rsidR="009E4F51" w:rsidRPr="009E4F51">
        <w:rPr>
          <w:i/>
        </w:rPr>
        <w:t>Pembela</w:t>
      </w:r>
      <w:proofErr w:type="spellEnd"/>
      <w:r w:rsidR="009E4F51" w:rsidRPr="009E4F51">
        <w:rPr>
          <w:i/>
        </w:rPr>
        <w:t xml:space="preserve"> Islam/Islamic Defenders Front</w:t>
      </w:r>
      <w:r w:rsidR="009E4F51">
        <w:t xml:space="preserve">) </w:t>
      </w:r>
      <w:r w:rsidRPr="00E82E93">
        <w:t>as an organization that seeks confrontation with them physically, by attacking their belongings and their worship</w:t>
      </w:r>
      <w:r>
        <w:t xml:space="preserve"> </w:t>
      </w:r>
      <w:r w:rsidRPr="00E82E93">
        <w:t>buildings. They are also aware of the engaging power of the group with local and national government officials. Ahmadis are afraid this organization will grow in number and will organize more events in the future, which could lead to more violence to them.</w:t>
      </w:r>
    </w:p>
    <w:p w14:paraId="12B80A29" w14:textId="02A1AA54" w:rsidR="005A3C5C" w:rsidRDefault="005A3C5C" w:rsidP="009F417F">
      <w:r>
        <w:t>The MUI is also considered as intolerant towards Ahmadiyya, b</w:t>
      </w:r>
      <w:r w:rsidR="00994341">
        <w:t>ecause of the issued Fatwa. In the FGDs, Ahmadis acknowledged that this</w:t>
      </w:r>
      <w:r>
        <w:t xml:space="preserve"> </w:t>
      </w:r>
      <w:r w:rsidR="00481280">
        <w:t>Fatwa started a movement of increased</w:t>
      </w:r>
      <w:r>
        <w:t xml:space="preserve"> intol</w:t>
      </w:r>
      <w:r w:rsidR="00994341">
        <w:t>erance and incomprehension, even</w:t>
      </w:r>
      <w:r>
        <w:t xml:space="preserve"> with community member</w:t>
      </w:r>
      <w:r w:rsidR="003C3DC5">
        <w:t>s</w:t>
      </w:r>
      <w:r>
        <w:t xml:space="preserve"> that normally were perceived as neutral</w:t>
      </w:r>
      <w:r w:rsidR="00994341">
        <w:t xml:space="preserve"> towards Ahmadiyya</w:t>
      </w:r>
      <w:r>
        <w:t>.</w:t>
      </w:r>
      <w:r w:rsidR="00994341">
        <w:t xml:space="preserve"> Hardline Muslim groups justify their actions with the issued Fatwa and are influenced by members of the MUI.</w:t>
      </w:r>
    </w:p>
    <w:p w14:paraId="396A8B61" w14:textId="0A3A645B" w:rsidR="003C3DC5" w:rsidRDefault="00994341" w:rsidP="009F417F">
      <w:proofErr w:type="spellStart"/>
      <w:r>
        <w:t>Garis</w:t>
      </w:r>
      <w:proofErr w:type="spellEnd"/>
      <w:r>
        <w:t xml:space="preserve"> can be seen as one of the Hardline Muslim groups that want to defend the pure Islam and oppose deviant sects. They often change their name or change their organization and structure. For now, Ahmadis have indicated </w:t>
      </w:r>
      <w:proofErr w:type="spellStart"/>
      <w:r>
        <w:t>Garis</w:t>
      </w:r>
      <w:proofErr w:type="spellEnd"/>
      <w:r>
        <w:t xml:space="preserve"> as an intolerant group, but there are several similar groups, like </w:t>
      </w:r>
      <w:proofErr w:type="spellStart"/>
      <w:r>
        <w:t>Gibas</w:t>
      </w:r>
      <w:proofErr w:type="spellEnd"/>
      <w:r>
        <w:t xml:space="preserve">, </w:t>
      </w:r>
      <w:proofErr w:type="spellStart"/>
      <w:r>
        <w:t>Gamas</w:t>
      </w:r>
      <w:proofErr w:type="spellEnd"/>
      <w:r>
        <w:t>, Lines, GBI and Barak.</w:t>
      </w:r>
    </w:p>
    <w:p w14:paraId="4771E2D4" w14:textId="7E7ACF69" w:rsidR="003C3DC5" w:rsidRDefault="003C3DC5" w:rsidP="009F417F">
      <w:r>
        <w:t>Even though the major</w:t>
      </w:r>
      <w:r w:rsidR="00481280">
        <w:t>ity (73%) of respondents remain</w:t>
      </w:r>
      <w:r>
        <w:t xml:space="preserve"> confiden</w:t>
      </w:r>
      <w:r w:rsidR="004E07BB">
        <w:t>t about the safety</w:t>
      </w:r>
      <w:r>
        <w:t xml:space="preserve"> of their children</w:t>
      </w:r>
      <w:r w:rsidR="004E07BB">
        <w:t xml:space="preserve"> in the future</w:t>
      </w:r>
      <w:r>
        <w:t xml:space="preserve"> and that the next generation will have it better than them in terms of </w:t>
      </w:r>
      <w:r>
        <w:lastRenderedPageBreak/>
        <w:t>protection, they continue worry about different aspects of their life.</w:t>
      </w:r>
    </w:p>
    <w:p w14:paraId="7717A9A4" w14:textId="2B1DFF5D" w:rsidR="003C3DC5" w:rsidRDefault="00501B2D" w:rsidP="009F417F">
      <w:r>
        <w:t>Despite feeling safe in the worshipping building, Ahmadis worry the most about their worshipping building being attacked, as sh</w:t>
      </w:r>
      <w:r w:rsidR="00E82E93">
        <w:t>own in the figure below. Although they have</w:t>
      </w:r>
      <w:r>
        <w:t xml:space="preserve"> trust in the current national government, Ahmadis are still concerned about their local government making regulations that are not in favor of them.</w:t>
      </w:r>
    </w:p>
    <w:p w14:paraId="61D3F57B" w14:textId="77777777" w:rsidR="003C3DC5" w:rsidRDefault="003C3DC5" w:rsidP="009F417F">
      <w:r>
        <w:rPr>
          <w:noProof/>
        </w:rPr>
        <w:drawing>
          <wp:inline distT="0" distB="0" distL="0" distR="0" wp14:anchorId="0BBAE98C" wp14:editId="14152959">
            <wp:extent cx="6120765" cy="4015740"/>
            <wp:effectExtent l="0" t="0" r="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B7D6819" w14:textId="46F0F61F" w:rsidR="003C3DC5" w:rsidRDefault="00E82E93" w:rsidP="003C3DC5">
      <w:pPr>
        <w:pStyle w:val="Caption"/>
      </w:pPr>
      <w:r>
        <w:t>Figure 12</w:t>
      </w:r>
      <w:r w:rsidR="003C3DC5">
        <w:t>: Degree of worries and concerns</w:t>
      </w:r>
    </w:p>
    <w:p w14:paraId="350F3696" w14:textId="77777777" w:rsidR="003C3DC5" w:rsidRPr="003C3DC5" w:rsidRDefault="003C3DC5" w:rsidP="003C3DC5">
      <w:pPr>
        <w:rPr>
          <w:lang w:val="en-AU"/>
        </w:rPr>
      </w:pPr>
    </w:p>
    <w:p w14:paraId="23ADF87A" w14:textId="77777777" w:rsidR="00690635" w:rsidRDefault="00690635" w:rsidP="00690635">
      <w:pPr>
        <w:pStyle w:val="Heading2"/>
      </w:pPr>
      <w:bookmarkStart w:id="24" w:name="_Toc477294877"/>
      <w:r>
        <w:t>Reporting of incidents</w:t>
      </w:r>
      <w:bookmarkEnd w:id="24"/>
    </w:p>
    <w:p w14:paraId="7F1E96E6" w14:textId="77777777" w:rsidR="007D29EF" w:rsidRDefault="00755EE3" w:rsidP="007D29EF">
      <w:pPr>
        <w:rPr>
          <w:lang w:val="en-AU"/>
        </w:rPr>
      </w:pPr>
      <w:r>
        <w:t>The survey reveals that most of the respondents have never reported an incident (whether or not they experienced violence, exclusion or discrimination).</w:t>
      </w:r>
      <w:r w:rsidR="007D29EF">
        <w:t xml:space="preserve"> </w:t>
      </w:r>
      <w:r w:rsidR="007D29EF">
        <w:rPr>
          <w:lang w:val="en-AU"/>
        </w:rPr>
        <w:t>According to the respondents, the main reasons for not reporting incidents are:</w:t>
      </w:r>
    </w:p>
    <w:p w14:paraId="538FE965" w14:textId="65413DDD" w:rsidR="007D29EF" w:rsidRPr="00BA7E7A" w:rsidRDefault="007D29EF" w:rsidP="007D29EF">
      <w:pPr>
        <w:pStyle w:val="ListParagraph"/>
        <w:numPr>
          <w:ilvl w:val="0"/>
          <w:numId w:val="30"/>
        </w:numPr>
        <w:rPr>
          <w:lang w:val="en-AU"/>
        </w:rPr>
      </w:pPr>
      <w:r>
        <w:rPr>
          <w:lang w:val="en-AU"/>
        </w:rPr>
        <w:t>They</w:t>
      </w:r>
      <w:r w:rsidRPr="00BA7E7A">
        <w:rPr>
          <w:lang w:val="en-AU"/>
        </w:rPr>
        <w:t xml:space="preserve"> did not want to attract further attention</w:t>
      </w:r>
    </w:p>
    <w:p w14:paraId="52F99AA3" w14:textId="4020D479" w:rsidR="007D29EF" w:rsidRPr="00BA7E7A" w:rsidRDefault="007D29EF" w:rsidP="007D29EF">
      <w:pPr>
        <w:pStyle w:val="ListParagraph"/>
        <w:numPr>
          <w:ilvl w:val="0"/>
          <w:numId w:val="30"/>
        </w:numPr>
        <w:rPr>
          <w:lang w:val="en-AU"/>
        </w:rPr>
      </w:pPr>
      <w:r>
        <w:rPr>
          <w:lang w:val="en-AU"/>
        </w:rPr>
        <w:t>They</w:t>
      </w:r>
      <w:r w:rsidRPr="00BA7E7A">
        <w:rPr>
          <w:lang w:val="en-AU"/>
        </w:rPr>
        <w:t xml:space="preserve"> did not think any actio</w:t>
      </w:r>
      <w:r>
        <w:rPr>
          <w:lang w:val="en-AU"/>
        </w:rPr>
        <w:t>n would be taken if they</w:t>
      </w:r>
      <w:r w:rsidRPr="00BA7E7A">
        <w:rPr>
          <w:lang w:val="en-AU"/>
        </w:rPr>
        <w:t xml:space="preserve"> reported the incident</w:t>
      </w:r>
    </w:p>
    <w:p w14:paraId="4CAE3BFA" w14:textId="1081386B" w:rsidR="007D29EF" w:rsidRDefault="007D29EF" w:rsidP="007D29EF">
      <w:pPr>
        <w:pStyle w:val="ListParagraph"/>
        <w:numPr>
          <w:ilvl w:val="0"/>
          <w:numId w:val="30"/>
        </w:numPr>
        <w:rPr>
          <w:lang w:val="en-AU"/>
        </w:rPr>
      </w:pPr>
      <w:r>
        <w:rPr>
          <w:lang w:val="en-AU"/>
        </w:rPr>
        <w:t>They reported it to the leader</w:t>
      </w:r>
      <w:r w:rsidR="009E4F51">
        <w:rPr>
          <w:lang w:val="en-AU"/>
        </w:rPr>
        <w:t xml:space="preserve"> and JAI (</w:t>
      </w:r>
      <w:proofErr w:type="spellStart"/>
      <w:r w:rsidR="009E4F51" w:rsidRPr="009E4F51">
        <w:rPr>
          <w:i/>
          <w:lang w:val="en-AU"/>
        </w:rPr>
        <w:t>Jemaat</w:t>
      </w:r>
      <w:proofErr w:type="spellEnd"/>
      <w:r w:rsidR="009E4F51" w:rsidRPr="009E4F51">
        <w:rPr>
          <w:i/>
          <w:lang w:val="en-AU"/>
        </w:rPr>
        <w:t xml:space="preserve"> </w:t>
      </w:r>
      <w:proofErr w:type="spellStart"/>
      <w:r w:rsidR="009E4F51" w:rsidRPr="009E4F51">
        <w:rPr>
          <w:i/>
          <w:lang w:val="en-AU"/>
        </w:rPr>
        <w:t>Ahmadiyah</w:t>
      </w:r>
      <w:proofErr w:type="spellEnd"/>
      <w:r w:rsidR="009E4F51" w:rsidRPr="009E4F51">
        <w:rPr>
          <w:i/>
          <w:lang w:val="en-AU"/>
        </w:rPr>
        <w:t xml:space="preserve"> Indonesia – Ahmadiyya organization</w:t>
      </w:r>
      <w:r w:rsidR="009E4F51">
        <w:rPr>
          <w:lang w:val="en-AU"/>
        </w:rPr>
        <w:t>)</w:t>
      </w:r>
      <w:r>
        <w:rPr>
          <w:lang w:val="en-AU"/>
        </w:rPr>
        <w:t xml:space="preserve"> and waited for their instructions</w:t>
      </w:r>
    </w:p>
    <w:p w14:paraId="64222DF2" w14:textId="14DA5BAE" w:rsidR="00690635" w:rsidRPr="007D29EF" w:rsidRDefault="00690635" w:rsidP="00690635">
      <w:pPr>
        <w:rPr>
          <w:lang w:val="en-AU"/>
        </w:rPr>
      </w:pPr>
    </w:p>
    <w:p w14:paraId="0E497DA6" w14:textId="77777777" w:rsidR="00755EE3" w:rsidRDefault="00755EE3" w:rsidP="00690635">
      <w:r>
        <w:rPr>
          <w:noProof/>
        </w:rPr>
        <w:lastRenderedPageBreak/>
        <w:drawing>
          <wp:inline distT="0" distB="0" distL="0" distR="0" wp14:anchorId="0431766A" wp14:editId="341D9C4A">
            <wp:extent cx="5819775" cy="2453640"/>
            <wp:effectExtent l="0" t="0" r="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660FE3" w14:textId="01AB2C1D" w:rsidR="00755EE3" w:rsidRDefault="00E82E93" w:rsidP="00755EE3">
      <w:pPr>
        <w:pStyle w:val="Caption"/>
      </w:pPr>
      <w:r>
        <w:t>Figure 13</w:t>
      </w:r>
      <w:r w:rsidR="00481280">
        <w:t>: Are Ahmadis r</w:t>
      </w:r>
      <w:r w:rsidR="00755EE3">
        <w:t>eporting incidents</w:t>
      </w:r>
      <w:r w:rsidR="00481280">
        <w:t>?</w:t>
      </w:r>
    </w:p>
    <w:p w14:paraId="4A7C555A" w14:textId="77777777" w:rsidR="00755EE3" w:rsidRDefault="00755EE3" w:rsidP="00755EE3">
      <w:pPr>
        <w:rPr>
          <w:lang w:val="en-AU"/>
        </w:rPr>
      </w:pPr>
    </w:p>
    <w:p w14:paraId="1006CC0B" w14:textId="2F16C3FE" w:rsidR="007D29EF" w:rsidRPr="00471625" w:rsidRDefault="007D29EF" w:rsidP="007D29EF">
      <w:pPr>
        <w:rPr>
          <w:lang w:val="en-AU"/>
        </w:rPr>
      </w:pPr>
      <w:r>
        <w:rPr>
          <w:lang w:val="en-AU"/>
        </w:rPr>
        <w:t>Almost all incidents are reported to the local leaders, but Ahmadis decide to report to the police when the incident is a criminal offence. Submitting an incident report often goes hand in hand with the instruction from the</w:t>
      </w:r>
      <w:r w:rsidR="00AF6129">
        <w:rPr>
          <w:lang w:val="en-AU"/>
        </w:rPr>
        <w:t xml:space="preserve"> local Ahmadiyya leader or the h</w:t>
      </w:r>
      <w:r>
        <w:rPr>
          <w:lang w:val="en-AU"/>
        </w:rPr>
        <w:t>eadquarter</w:t>
      </w:r>
      <w:r w:rsidR="00AF6129">
        <w:rPr>
          <w:lang w:val="en-AU"/>
        </w:rPr>
        <w:t>s</w:t>
      </w:r>
      <w:r>
        <w:rPr>
          <w:lang w:val="en-AU"/>
        </w:rPr>
        <w:t xml:space="preserve"> in Bogor. </w:t>
      </w:r>
      <w:r w:rsidRPr="00471625">
        <w:rPr>
          <w:lang w:val="en-AU"/>
        </w:rPr>
        <w:t>After Ahmadiyya report the incident,</w:t>
      </w:r>
      <w:r>
        <w:rPr>
          <w:lang w:val="en-AU"/>
        </w:rPr>
        <w:t xml:space="preserve"> the main challenge they have to overcome is: </w:t>
      </w:r>
    </w:p>
    <w:p w14:paraId="4FECE134" w14:textId="77777777" w:rsidR="00471625" w:rsidRPr="00471625" w:rsidRDefault="00471625" w:rsidP="00471625">
      <w:pPr>
        <w:ind w:firstLine="720"/>
        <w:rPr>
          <w:lang w:val="en-AU"/>
        </w:rPr>
      </w:pPr>
      <w:r w:rsidRPr="00471625">
        <w:rPr>
          <w:lang w:val="en-AU"/>
        </w:rPr>
        <w:t>1.  Difficulties to get legal assistance</w:t>
      </w:r>
    </w:p>
    <w:p w14:paraId="4D8864BA" w14:textId="77777777" w:rsidR="00471625" w:rsidRPr="00471625" w:rsidRDefault="00471625" w:rsidP="00471625">
      <w:pPr>
        <w:ind w:firstLine="720"/>
        <w:rPr>
          <w:lang w:val="en-AU"/>
        </w:rPr>
      </w:pPr>
      <w:r w:rsidRPr="00471625">
        <w:rPr>
          <w:lang w:val="en-AU"/>
        </w:rPr>
        <w:t>2. They do not believe the legal system will support them</w:t>
      </w:r>
    </w:p>
    <w:p w14:paraId="048D0F70" w14:textId="651BE87F" w:rsidR="00BA7E7A" w:rsidRDefault="00471625" w:rsidP="00471625">
      <w:pPr>
        <w:ind w:firstLine="720"/>
        <w:rPr>
          <w:lang w:val="en-AU"/>
        </w:rPr>
      </w:pPr>
      <w:r w:rsidRPr="00471625">
        <w:rPr>
          <w:lang w:val="en-AU"/>
        </w:rPr>
        <w:t>3. They do not know how the procedures work</w:t>
      </w:r>
    </w:p>
    <w:p w14:paraId="1BE71ACC" w14:textId="73BE293B" w:rsidR="00AF6129" w:rsidRPr="00AF6129" w:rsidRDefault="001713AC" w:rsidP="00AF6129">
      <w:pPr>
        <w:rPr>
          <w:lang w:val="en-AU"/>
        </w:rPr>
      </w:pPr>
      <w:r>
        <w:rPr>
          <w:lang w:val="en-AU"/>
        </w:rPr>
        <w:t xml:space="preserve">From the FGDs, we understand there is lack </w:t>
      </w:r>
      <w:r w:rsidR="00AF6129">
        <w:rPr>
          <w:lang w:val="en-AU"/>
        </w:rPr>
        <w:t xml:space="preserve">of knowledge </w:t>
      </w:r>
      <w:r>
        <w:rPr>
          <w:lang w:val="en-AU"/>
        </w:rPr>
        <w:t>of how to record a case</w:t>
      </w:r>
      <w:r w:rsidR="00AF6129" w:rsidRPr="00AF6129">
        <w:rPr>
          <w:lang w:val="en-AU"/>
        </w:rPr>
        <w:t xml:space="preserve"> There is need for outside support, like from paralegals, to support them in filing and managing a case. Especially in places where JAI branches are not able to represent Ahmadiyya properly, because there are few Ahmadis living in a village, they feel unrepresented. </w:t>
      </w:r>
      <w:r w:rsidR="00AF6129">
        <w:rPr>
          <w:lang w:val="en-AU"/>
        </w:rPr>
        <w:t>Ahma</w:t>
      </w:r>
      <w:r w:rsidR="00AF6129" w:rsidRPr="00AF6129">
        <w:rPr>
          <w:lang w:val="en-AU"/>
        </w:rPr>
        <w:t>dis believe that paralegals will be able to support them in cases where legal assistance is needed.</w:t>
      </w:r>
    </w:p>
    <w:p w14:paraId="3295E353" w14:textId="41A905CF" w:rsidR="00690635" w:rsidRPr="00690635" w:rsidRDefault="00690635" w:rsidP="00AF6129">
      <w:pPr>
        <w:pStyle w:val="Heading2"/>
      </w:pPr>
      <w:bookmarkStart w:id="25" w:name="_Toc477294878"/>
      <w:r>
        <w:t>Roles and responsibilities</w:t>
      </w:r>
      <w:r w:rsidR="00AF6129">
        <w:t xml:space="preserve"> to protect</w:t>
      </w:r>
      <w:bookmarkEnd w:id="25"/>
    </w:p>
    <w:p w14:paraId="0152A2C6" w14:textId="77777777" w:rsidR="00AF6129" w:rsidRPr="00AF6129" w:rsidRDefault="00AF6129" w:rsidP="00AF6129">
      <w:r w:rsidRPr="00AF6129">
        <w:t xml:space="preserve">The roles and responsibilities to protect the Ahmadiyya community in Indonesia can be distinguished between different actors. An obvious role is for the national and local government who should provide protection and uphold the law. Politicians, government officials from different ministerial departments, jurists, but also the law enforcers (like the police) have specific roles and responsibilities. The Ahmadis can be supported by non-governmental organizations (NGOs) and (inter)national human rights organizations, but they often are not informed about the existence of the local NGOs. Ahmadis have their own organization (JAI) to support them, albeit they are aware of their individual responsibility to protect themselves. </w:t>
      </w:r>
    </w:p>
    <w:p w14:paraId="1D9FF4B1" w14:textId="711EEE69" w:rsidR="00787F3E" w:rsidRDefault="00787F3E" w:rsidP="00787F3E">
      <w:pPr>
        <w:pStyle w:val="Heading3"/>
      </w:pPr>
      <w:r>
        <w:lastRenderedPageBreak/>
        <w:t>National and local Government</w:t>
      </w:r>
    </w:p>
    <w:p w14:paraId="71FFFC1F" w14:textId="0C35AC3A" w:rsidR="00D81724" w:rsidRDefault="00BD09F6" w:rsidP="00D60044">
      <w:r>
        <w:t>From previous research</w:t>
      </w:r>
      <w:r w:rsidR="009E4F51">
        <w:rPr>
          <w:rStyle w:val="FootnoteReference"/>
        </w:rPr>
        <w:footnoteReference w:id="12"/>
      </w:r>
      <w:r>
        <w:t xml:space="preserve"> on Ahmadiyya, </w:t>
      </w:r>
      <w:r w:rsidR="007627BD">
        <w:t>we know there</w:t>
      </w:r>
      <w:r w:rsidR="00D81724">
        <w:t xml:space="preserve"> is a rise in violent incidents before and during elections. The respondents are divided in their answers if candidates try to win votes by campaigning against Ahmadiyya community. In Depok, the majority said yes, while in Tasikmalaya, the majority said no.</w:t>
      </w:r>
    </w:p>
    <w:p w14:paraId="12A47C01" w14:textId="673B35E1" w:rsidR="007627BD" w:rsidRDefault="00AA05B8" w:rsidP="007627BD">
      <w:r>
        <w:rPr>
          <w:noProof/>
        </w:rPr>
        <w:drawing>
          <wp:anchor distT="0" distB="0" distL="114300" distR="114300" simplePos="0" relativeHeight="251668480" behindDoc="0" locked="0" layoutInCell="1" allowOverlap="1" wp14:anchorId="0AB4E716" wp14:editId="54CD921C">
            <wp:simplePos x="0" y="0"/>
            <wp:positionH relativeFrom="column">
              <wp:posOffset>-339090</wp:posOffset>
            </wp:positionH>
            <wp:positionV relativeFrom="paragraph">
              <wp:posOffset>29210</wp:posOffset>
            </wp:positionV>
            <wp:extent cx="3695700" cy="1588770"/>
            <wp:effectExtent l="0" t="0" r="0" b="0"/>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anchor>
        </w:drawing>
      </w:r>
      <w:r w:rsidR="002F3CDE">
        <w:t>Althou</w:t>
      </w:r>
      <w:r>
        <w:t>gh the majority of the</w:t>
      </w:r>
      <w:r w:rsidR="002F3CDE">
        <w:t xml:space="preserve"> respondents believes that the local government is showing the will to change and improve th</w:t>
      </w:r>
      <w:r w:rsidR="00E140DC">
        <w:t xml:space="preserve">e lives of their community, </w:t>
      </w:r>
      <w:r>
        <w:t>their opinion is predomina</w:t>
      </w:r>
      <w:r w:rsidR="00E140DC">
        <w:t xml:space="preserve">ntly negative </w:t>
      </w:r>
      <w:r w:rsidR="00E140DC" w:rsidRPr="00E140DC">
        <w:t xml:space="preserve">on the neutral role of </w:t>
      </w:r>
      <w:r w:rsidR="00E140DC">
        <w:t xml:space="preserve">the local </w:t>
      </w:r>
      <w:r w:rsidR="00E140DC" w:rsidRPr="00E140DC">
        <w:t>government in the issue of</w:t>
      </w:r>
      <w:r w:rsidRPr="00AA05B8">
        <w:t xml:space="preserve"> </w:t>
      </w:r>
      <w:r w:rsidRPr="00E140DC">
        <w:t>discrimination, violence and exclusion</w:t>
      </w:r>
      <w:r>
        <w:t>.</w:t>
      </w:r>
    </w:p>
    <w:p w14:paraId="2EEC4080" w14:textId="3515C6CF" w:rsidR="007627BD" w:rsidRDefault="009E4F51" w:rsidP="007627BD">
      <w:pPr>
        <w:pStyle w:val="Caption"/>
      </w:pPr>
      <w:r>
        <w:t>Figure 14</w:t>
      </w:r>
      <w:r w:rsidR="007627BD">
        <w:t>: Are candidates trying to win votes by campaigning against Ahmadiyya community?</w:t>
      </w:r>
    </w:p>
    <w:p w14:paraId="3B29E461" w14:textId="69F90E3F" w:rsidR="007627BD" w:rsidRDefault="00E140DC" w:rsidP="007627BD">
      <w:r w:rsidRPr="00E140DC">
        <w:t xml:space="preserve"> </w:t>
      </w:r>
    </w:p>
    <w:p w14:paraId="0CFCB02B" w14:textId="18E62062" w:rsidR="009E4F51" w:rsidRPr="009E4F51" w:rsidRDefault="009E4F51" w:rsidP="009E4F51">
      <w:r w:rsidRPr="009E4F51">
        <w:t>Especially in Depok and Kuningan, the majority of the respondents answered that the government is not playing a neutral role. A participant in the FGD in Depok gave the example of a local neighborhood leader who provoked the Ahmadiyya community. He is replaced now and the situation has gotten much better. On the question who should play a neutral role, most of the respondents answered it should still be the local government or the mayor/village leader. Just like in the example of Depok, they would rather see someone impartial in government functions. To a lesser extent, they believe a local NGO can be more neutral. They also see a role for themselves, by having more Ahmadiyya in decision-making roles within the government</w:t>
      </w:r>
      <w:r>
        <w:t xml:space="preserve"> </w:t>
      </w:r>
      <w:r w:rsidRPr="009E4F51">
        <w:t>and law enforcement bodies. It was elaborated in one of the FGDs that only a few Ahmadis have a good position in the local government.</w:t>
      </w:r>
      <w:r>
        <w:t xml:space="preserve"> </w:t>
      </w:r>
    </w:p>
    <w:p w14:paraId="46F6A868" w14:textId="77777777" w:rsidR="00E140DC" w:rsidRDefault="00E140DC" w:rsidP="00D60044">
      <w:r>
        <w:rPr>
          <w:noProof/>
        </w:rPr>
        <w:drawing>
          <wp:inline distT="0" distB="0" distL="0" distR="0" wp14:anchorId="1F73CE3C" wp14:editId="5F216205">
            <wp:extent cx="6069330" cy="1554480"/>
            <wp:effectExtent l="0" t="0" r="762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6C75EE1" w14:textId="77CBEC5B" w:rsidR="007E022D" w:rsidRDefault="009D7158" w:rsidP="009E4F51">
      <w:pPr>
        <w:pStyle w:val="Caption"/>
      </w:pPr>
      <w:r>
        <w:t>Figure 15</w:t>
      </w:r>
      <w:r w:rsidR="00E140DC">
        <w:t xml:space="preserve">: </w:t>
      </w:r>
      <w:r w:rsidR="007E022D">
        <w:t xml:space="preserve">To which extent are you satisfied </w:t>
      </w:r>
      <w:r w:rsidR="007E022D" w:rsidRPr="007E022D">
        <w:t>with the guarantees in laws and regulations that protect your right to freedom of religion?</w:t>
      </w:r>
    </w:p>
    <w:p w14:paraId="329B4DB2" w14:textId="4C73E25E" w:rsidR="009E4F51" w:rsidRPr="009E4F51" w:rsidRDefault="009E4F51" w:rsidP="009E4F51">
      <w:r w:rsidRPr="009E4F51">
        <w:lastRenderedPageBreak/>
        <w:t>The majority of respondents are aware of laws and regulations that are protecting them as Ahmadiyya. But from the above figure, it can be concluded that members of Ahmadiyya are not satisfied with the existing regulations. In addition, more than half of them think the laws and regulations are undermining the community. In Kuningan and Depok in particular, there is a feeling that the laws and regulations under</w:t>
      </w:r>
      <w:r w:rsidR="00837B13">
        <w:t>mine their position (See Annex 2</w:t>
      </w:r>
      <w:r w:rsidRPr="009E4F51">
        <w:t>). One example is the Joint Ministerial Decree No. 3 of 2008 issued by the Minister of Religious Affairs, the Minister of Home Affairs and the Attorney General. The decree orders the Ahmadiyya community to “stop spreading interpretations and activities which deviate from the principal teachings of Islam”, including “the spreading of the belief that there is another prophet with his own teachings after the Prophet Mohammed”.  Violations of the Decree are subject to penalties that may include imprisonment for up to five years if convicted for blasphemy under Article 156a of the Indonesian Criminal Code. According to the Decree, local governments are obliged to take any necessary measures to maintain and supervise th</w:t>
      </w:r>
      <w:r>
        <w:t>e implementation of the Decree.</w:t>
      </w:r>
      <w:r w:rsidRPr="009E4F51">
        <w:t xml:space="preserve"> This also includes providing adequate protection to the members of Ahmadiyya as Indonesian citizens. But according to Ahmadis in the FGD, that protection is lacking, because the focus of this decree is not on protection, but on limiting the Ahmadiyya communities. </w:t>
      </w:r>
    </w:p>
    <w:p w14:paraId="36ED6A56" w14:textId="4CC1FBD5" w:rsidR="00DC3411" w:rsidRDefault="00DC3411" w:rsidP="00DC3411">
      <w:pPr>
        <w:pStyle w:val="Heading3"/>
      </w:pPr>
      <w:r>
        <w:t>Law Enforcement</w:t>
      </w:r>
    </w:p>
    <w:p w14:paraId="3345F6A1" w14:textId="329449E3" w:rsidR="003573B3" w:rsidRDefault="00832E29" w:rsidP="00D60044">
      <w:r w:rsidRPr="006266CF">
        <w:rPr>
          <w:noProof/>
        </w:rPr>
        <mc:AlternateContent>
          <mc:Choice Requires="wps">
            <w:drawing>
              <wp:anchor distT="45720" distB="45720" distL="114300" distR="114300" simplePos="0" relativeHeight="251687936" behindDoc="0" locked="0" layoutInCell="1" allowOverlap="1" wp14:anchorId="5F1BC353" wp14:editId="1CE7861B">
                <wp:simplePos x="0" y="0"/>
                <wp:positionH relativeFrom="margin">
                  <wp:posOffset>4122420</wp:posOffset>
                </wp:positionH>
                <wp:positionV relativeFrom="paragraph">
                  <wp:posOffset>771525</wp:posOffset>
                </wp:positionV>
                <wp:extent cx="2148840" cy="1474470"/>
                <wp:effectExtent l="0" t="0" r="381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474470"/>
                        </a:xfrm>
                        <a:prstGeom prst="rect">
                          <a:avLst/>
                        </a:prstGeom>
                        <a:solidFill>
                          <a:srgbClr val="FFFFFF"/>
                        </a:solidFill>
                        <a:ln w="9525">
                          <a:noFill/>
                          <a:miter lim="800000"/>
                          <a:headEnd/>
                          <a:tailEnd/>
                        </a:ln>
                      </wps:spPr>
                      <wps:txbx>
                        <w:txbxContent>
                          <w:p w14:paraId="6B6DA076" w14:textId="4730CB35" w:rsidR="00F52A18" w:rsidRPr="00BB2229" w:rsidRDefault="00F52A18" w:rsidP="00832E29">
                            <w:pPr>
                              <w:pBdr>
                                <w:left w:val="single" w:sz="4" w:space="4" w:color="3597EB" w:themeColor="accent2"/>
                              </w:pBdr>
                              <w:spacing w:after="0"/>
                              <w:jc w:val="right"/>
                              <w:rPr>
                                <w:color w:val="3597EB" w:themeColor="accent2"/>
                                <w:sz w:val="24"/>
                              </w:rPr>
                            </w:pPr>
                            <w:r>
                              <w:rPr>
                                <w:color w:val="3597EB" w:themeColor="accent2"/>
                                <w:sz w:val="24"/>
                              </w:rPr>
                              <w:t xml:space="preserve">An Ahmadiyya from Sukabumi: </w:t>
                            </w:r>
                            <w:r w:rsidRPr="009E4200">
                              <w:rPr>
                                <w:color w:val="3597EB" w:themeColor="accent2"/>
                                <w:sz w:val="24"/>
                              </w:rPr>
                              <w:t>“</w:t>
                            </w:r>
                            <w:r>
                              <w:rPr>
                                <w:color w:val="3597EB" w:themeColor="accent2"/>
                                <w:sz w:val="24"/>
                              </w:rPr>
                              <w:t>The police did not follow-up my case. It is not effective. I rather report it to my leader or a NGO</w:t>
                            </w:r>
                            <w:r w:rsidRPr="0064680A">
                              <w:rPr>
                                <w:color w:val="3597EB" w:themeColor="accent2"/>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BC353" id="_x0000_s1030" type="#_x0000_t202" style="position:absolute;left:0;text-align:left;margin-left:324.6pt;margin-top:60.75pt;width:169.2pt;height:116.1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ptIgIAACQEAAAOAAAAZHJzL2Uyb0RvYy54bWysU9uO2yAQfa/Uf0C8N45dp5u14qy22aaq&#10;tL1Iu/0AjHGMCgwFEjv9+g44SaPtW1UeEMMMh5lzZlZ3o1bkIJyXYGqaz+aUCMOhlWZX0+/P2zdL&#10;SnxgpmUKjKjpUXh6t379ajXYShTQg2qFIwhifDXYmvYh2CrLPO+FZn4GVhh0duA0C2i6XdY6NiC6&#10;Vlkxn7/LBnCtdcCF93j7MDnpOuF3neDha9d5EYiqKeYW0u7S3sQ9W69YtXPM9pKf0mD/kIVm0uCn&#10;F6gHFhjZO/kXlJbcgYcuzDjoDLpOcpFqwGry+YtqnnpmRaoFyfH2QpP/f7D8y+GbI7JF7d5SYphG&#10;jZ7FGMh7GEkR6RmsrzDqyWJcGPEaQ1Op3j4C/+GJgU3PzE7cOwdDL1iL6eXxZXb1dMLxEaQZPkOL&#10;37B9gAQ0dk5H7pANgugo0/EiTUyF42WRl8tliS6Ovry8KcubJF7GqvNz63z4KECTeKipQ+0TPDs8&#10;+hDTYdU5JP7mQcl2K5VKhts1G+XIgWGfbNNKFbwIU4YMNb1dFIuEbCC+Ty2kZcA+VlLXdDmPa+qs&#10;SMcH06aQwKSazpiJMid+IiUTOWFsxqREeaa9gfaIhDmY2hbHDA89uF+UDNiyNfU/98wJStQng6Tf&#10;5mVkKCSjXNwUaLhrT3PtYYYjVE0DJdNxE9JcRDoM3KM4nUy0RRWnTE4pYysmNk9jE3v92k5Rf4Z7&#10;/RsAAP//AwBQSwMEFAAGAAgAAAAhAEau7UfgAAAACwEAAA8AAABkcnMvZG93bnJldi54bWxMj0Fu&#10;gzAQRfeVegdrInVTNSYkQKCYqK3UqtukOcAADqDgMcJOILfvdNUsR//p/zf5bja9uOrRdZYUrJYB&#10;CE2VrTtqFBx/Pl+2IJxHqrG3pBXctINd8fiQY1bbifb6evCN4BJyGSpovR8yKV3VaoNuaQdNnJ3s&#10;aNDzOTayHnHictPLMAhiabAjXmhx0B+trs6Hi1Fw+p6eo3Qqv/wx2W/id+yS0t6UelrMb68gvJ79&#10;Pwx/+qwOBTuV9kK1E72CeJOGjHIQriIQTKTbJAZRKlhH6wRkkcv7H4pfAAAA//8DAFBLAQItABQA&#10;BgAIAAAAIQC2gziS/gAAAOEBAAATAAAAAAAAAAAAAAAAAAAAAABbQ29udGVudF9UeXBlc10ueG1s&#10;UEsBAi0AFAAGAAgAAAAhADj9If/WAAAAlAEAAAsAAAAAAAAAAAAAAAAALwEAAF9yZWxzLy5yZWxz&#10;UEsBAi0AFAAGAAgAAAAhAG8Amm0iAgAAJAQAAA4AAAAAAAAAAAAAAAAALgIAAGRycy9lMm9Eb2Mu&#10;eG1sUEsBAi0AFAAGAAgAAAAhAEau7UfgAAAACwEAAA8AAAAAAAAAAAAAAAAAfAQAAGRycy9kb3du&#10;cmV2LnhtbFBLBQYAAAAABAAEAPMAAACJBQAAAAA=&#10;" stroked="f">
                <v:textbox>
                  <w:txbxContent>
                    <w:p w14:paraId="6B6DA076" w14:textId="4730CB35" w:rsidR="00F52A18" w:rsidRPr="00BB2229" w:rsidRDefault="00F52A18" w:rsidP="00832E29">
                      <w:pPr>
                        <w:pBdr>
                          <w:left w:val="single" w:sz="4" w:space="4" w:color="3597EB" w:themeColor="accent2"/>
                        </w:pBdr>
                        <w:spacing w:after="0"/>
                        <w:jc w:val="right"/>
                        <w:rPr>
                          <w:color w:val="3597EB" w:themeColor="accent2"/>
                          <w:sz w:val="24"/>
                        </w:rPr>
                      </w:pPr>
                      <w:r>
                        <w:rPr>
                          <w:color w:val="3597EB" w:themeColor="accent2"/>
                          <w:sz w:val="24"/>
                        </w:rPr>
                        <w:t xml:space="preserve">An Ahmadiyya from Sukabumi: </w:t>
                      </w:r>
                      <w:r w:rsidRPr="009E4200">
                        <w:rPr>
                          <w:color w:val="3597EB" w:themeColor="accent2"/>
                          <w:sz w:val="24"/>
                        </w:rPr>
                        <w:t>“</w:t>
                      </w:r>
                      <w:r>
                        <w:rPr>
                          <w:color w:val="3597EB" w:themeColor="accent2"/>
                          <w:sz w:val="24"/>
                        </w:rPr>
                        <w:t>The police did not follow-up my case. It is not effective. I rather report it to my leader or a NGO</w:t>
                      </w:r>
                      <w:r w:rsidRPr="0064680A">
                        <w:rPr>
                          <w:color w:val="3597EB" w:themeColor="accent2"/>
                          <w:sz w:val="24"/>
                        </w:rPr>
                        <w:t>”</w:t>
                      </w:r>
                    </w:p>
                  </w:txbxContent>
                </v:textbox>
                <w10:wrap type="square" anchorx="margin"/>
              </v:shape>
            </w:pict>
          </mc:Fallback>
        </mc:AlternateContent>
      </w:r>
      <w:r w:rsidR="00987AE0">
        <w:t xml:space="preserve">An </w:t>
      </w:r>
      <w:r w:rsidR="00AE7518">
        <w:t>often-heard feeling with Ahm</w:t>
      </w:r>
      <w:r w:rsidR="009E4F51">
        <w:t>adis is that the police are</w:t>
      </w:r>
      <w:r w:rsidR="00AE7518">
        <w:t xml:space="preserve"> not always effective. Reported</w:t>
      </w:r>
      <w:r w:rsidR="003573B3">
        <w:t xml:space="preserve"> incidents of</w:t>
      </w:r>
      <w:r w:rsidR="00AE7518">
        <w:t xml:space="preserve"> violence are not always properly followed up.</w:t>
      </w:r>
      <w:r w:rsidR="003573B3">
        <w:t xml:space="preserve"> In the FGDs</w:t>
      </w:r>
      <w:r w:rsidR="006520AA">
        <w:t>, Ahmadis agree that t</w:t>
      </w:r>
      <w:r w:rsidR="006520AA" w:rsidRPr="006520AA">
        <w:t>he police are still unable to enforce the law and protect members of Ahmadiyya because of pressure</w:t>
      </w:r>
      <w:r w:rsidR="003573B3">
        <w:t>s from Hard</w:t>
      </w:r>
      <w:r w:rsidR="009E4F51">
        <w:t>-</w:t>
      </w:r>
      <w:r w:rsidR="003573B3">
        <w:t>line Muslim</w:t>
      </w:r>
      <w:r w:rsidR="006520AA">
        <w:t xml:space="preserve"> groups and religious leaders</w:t>
      </w:r>
      <w:r w:rsidR="006520AA" w:rsidRPr="006520AA">
        <w:t>.</w:t>
      </w:r>
      <w:r w:rsidR="006520AA">
        <w:t xml:space="preserve"> </w:t>
      </w:r>
      <w:r w:rsidR="003573B3">
        <w:t xml:space="preserve">They also believe that the police and other law enforcement agencies should address incidents differently. </w:t>
      </w:r>
      <w:r w:rsidR="006520AA">
        <w:t>When an Ahmadiyya mosq</w:t>
      </w:r>
      <w:r w:rsidR="003573B3">
        <w:t>ue is attacked, like what happened</w:t>
      </w:r>
      <w:r w:rsidR="006520AA">
        <w:t xml:space="preserve"> in Kuningan, the reaction of the police is to seal or close the Ahmadiyya mosque</w:t>
      </w:r>
      <w:r w:rsidR="003573B3">
        <w:t xml:space="preserve"> in order to maintain social order</w:t>
      </w:r>
      <w:r w:rsidR="006520AA">
        <w:t xml:space="preserve">. The Ahmadis feel that the police should be more pro-active catching and persecuting the perpetrators instead of impairing them more. </w:t>
      </w:r>
      <w:r w:rsidR="003573B3">
        <w:t xml:space="preserve">Besides that, when hardline Muslim groups organize an event, the police secure Ahmadiyya mosques, instead of securing that event. The police should be impartial in protecting everyone, regardless of the background of the individual. A number of respondents in the FGD wishes that the role of the local government and law enforcement agencies should be firm towards intolerant groups in order to maintain the harmony within the community. </w:t>
      </w:r>
    </w:p>
    <w:p w14:paraId="6034975D" w14:textId="6E69E6EE" w:rsidR="006520AA" w:rsidRDefault="00C1022D" w:rsidP="00D60044">
      <w:r w:rsidRPr="00C1022D">
        <w:t>During KIIs with the police on the other hand, th</w:t>
      </w:r>
      <w:r>
        <w:t>e respond</w:t>
      </w:r>
      <w:r w:rsidRPr="00C1022D">
        <w:t xml:space="preserve">ents explained that every case was handled with the same method, despite anyone’s background. Although the police do not have specific measures to protect religious minorities, </w:t>
      </w:r>
      <w:r>
        <w:t>they</w:t>
      </w:r>
      <w:r w:rsidRPr="00C1022D">
        <w:t xml:space="preserve"> try to involve other government and public institutions (lik</w:t>
      </w:r>
      <w:r>
        <w:t xml:space="preserve">e MUI, local leaders and </w:t>
      </w:r>
      <w:r w:rsidR="00837B13">
        <w:t>the government bodies in Annex 3</w:t>
      </w:r>
      <w:r w:rsidRPr="00C1022D">
        <w:t>). They see a role for themselves in mediating between the conflicting parties. In Kuningan for instance, the police seek for the best solutions for the Ahmadiyya community with</w:t>
      </w:r>
      <w:r>
        <w:t xml:space="preserve"> </w:t>
      </w:r>
      <w:r w:rsidRPr="00C1022D">
        <w:t xml:space="preserve">regards to their ID Card. </w:t>
      </w:r>
      <w:r w:rsidRPr="00C1022D">
        <w:lastRenderedPageBreak/>
        <w:t>Although the local government has to make a decision, the police continues to maintain communications with all mass organizations, including those who oppose the Ahmadiyya community, particularly</w:t>
      </w:r>
      <w:r w:rsidR="006E3460" w:rsidRPr="006E3460">
        <w:t xml:space="preserve"> F</w:t>
      </w:r>
      <w:r>
        <w:t xml:space="preserve">PI, </w:t>
      </w:r>
      <w:r w:rsidR="006E3460">
        <w:t>who initiated the</w:t>
      </w:r>
      <w:r w:rsidR="006E3460" w:rsidRPr="006E3460">
        <w:t xml:space="preserve"> protest to refuse the local government's plan to state Islam as the Ahmadis' religion in their identification cards.</w:t>
      </w:r>
      <w:r>
        <w:t xml:space="preserve"> The police sent</w:t>
      </w:r>
      <w:r w:rsidR="006E3460">
        <w:t xml:space="preserve"> an intelligence team to gather information and have also included the Ahmadiyya in their investigation.</w:t>
      </w:r>
    </w:p>
    <w:p w14:paraId="268E9BBB" w14:textId="622BD6A4" w:rsidR="00C1022D" w:rsidRDefault="00C1022D" w:rsidP="00C1022D">
      <w:pPr>
        <w:pStyle w:val="Heading3"/>
      </w:pPr>
      <w:r>
        <w:t>Other law enforcement bodies</w:t>
      </w:r>
    </w:p>
    <w:p w14:paraId="69ED6B80" w14:textId="438E7D09" w:rsidR="00C1022D" w:rsidRPr="00C1022D" w:rsidRDefault="00C1022D" w:rsidP="00C1022D">
      <w:r>
        <w:t>As</w:t>
      </w:r>
      <w:r w:rsidRPr="00C1022D">
        <w:t xml:space="preserve"> in the other four areas, the local government in Depok does not have regulations that specifically protect religious minority groups, however the </w:t>
      </w:r>
      <w:proofErr w:type="spellStart"/>
      <w:r w:rsidRPr="00C1022D">
        <w:t>Kesbangpol</w:t>
      </w:r>
      <w:proofErr w:type="spellEnd"/>
      <w:r w:rsidRPr="00C1022D">
        <w:t xml:space="preserve"> Office implements the policies of the Minister of Home Affairs that regulates integration or social inclusion within the community. These policies aim to harmonize people from various backgrounds to be able to interact with each other. </w:t>
      </w:r>
      <w:proofErr w:type="spellStart"/>
      <w:r w:rsidRPr="00C1022D">
        <w:t>Kesbangpol</w:t>
      </w:r>
      <w:proofErr w:type="spellEnd"/>
      <w:r w:rsidRPr="00C1022D">
        <w:t xml:space="preserve"> is also one of the authorities who monitors the possibility of social conflict. In order to obtain relevant information, they collaborate with MUI and FKUB </w:t>
      </w:r>
      <w:r w:rsidRPr="00C1022D">
        <w:rPr>
          <w:i/>
        </w:rPr>
        <w:t xml:space="preserve">(Forum </w:t>
      </w:r>
      <w:proofErr w:type="spellStart"/>
      <w:r w:rsidRPr="00C1022D">
        <w:rPr>
          <w:i/>
        </w:rPr>
        <w:t>Kerukunan</w:t>
      </w:r>
      <w:proofErr w:type="spellEnd"/>
      <w:r w:rsidRPr="00C1022D">
        <w:rPr>
          <w:i/>
        </w:rPr>
        <w:t xml:space="preserve"> </w:t>
      </w:r>
      <w:proofErr w:type="spellStart"/>
      <w:r w:rsidRPr="00C1022D">
        <w:rPr>
          <w:i/>
        </w:rPr>
        <w:t>Umat</w:t>
      </w:r>
      <w:proofErr w:type="spellEnd"/>
      <w:r w:rsidRPr="00C1022D">
        <w:rPr>
          <w:i/>
        </w:rPr>
        <w:t xml:space="preserve"> </w:t>
      </w:r>
      <w:proofErr w:type="spellStart"/>
      <w:r w:rsidRPr="00C1022D">
        <w:rPr>
          <w:i/>
        </w:rPr>
        <w:t>Beragama</w:t>
      </w:r>
      <w:proofErr w:type="spellEnd"/>
      <w:r w:rsidRPr="00C1022D">
        <w:t xml:space="preserve">/Religious Harmony Forum). Both institutes represent the official religions in Indonesia and they often find themselves struggling to distinct from each other’s objectives. In case of the Ahmadiyya, that often means they are pointing fingers at each other over who is responsible for supporting the Ahmadiyya. </w:t>
      </w:r>
      <w:proofErr w:type="spellStart"/>
      <w:r w:rsidRPr="00C1022D">
        <w:t>Kesbangpol</w:t>
      </w:r>
      <w:proofErr w:type="spellEnd"/>
      <w:r w:rsidRPr="00C1022D">
        <w:t xml:space="preserve"> has the authority to give permission to Ahmadis who wish to organize an event or invite others from outside the community. It happened occasionally in Bogor, that Ahmadis were denied permissions to hold meetings because it could provoke other members of the community. </w:t>
      </w:r>
    </w:p>
    <w:p w14:paraId="311B7F23" w14:textId="4E47270B" w:rsidR="00C1022D" w:rsidRDefault="00C1022D" w:rsidP="00C1022D">
      <w:pPr>
        <w:rPr>
          <w:iCs/>
        </w:rPr>
      </w:pPr>
      <w:r w:rsidRPr="00C1022D">
        <w:t>From the KIIs with people at MUI and FKUB, it became clear that it highly depends on who you speak with within such an organization. One person can have much more positive or negative attitude towards the Ah</w:t>
      </w:r>
      <w:r w:rsidR="00837B13">
        <w:t>madiyya than another. In Annex 3</w:t>
      </w:r>
      <w:r w:rsidRPr="00C1022D">
        <w:t xml:space="preserve">, a table is presented with government bodies that are directly or indirectly involved in working with the Ahmadiyya or other religious minorities. It sheds a light on the complexity of actors involved when an incident occurs. In the Annex, only government bodies are represented, normally also NGOs, media and other religious organizations (like MUI, </w:t>
      </w:r>
      <w:proofErr w:type="spellStart"/>
      <w:r w:rsidRPr="00C1022D">
        <w:t>Nahdlatul</w:t>
      </w:r>
      <w:proofErr w:type="spellEnd"/>
      <w:r w:rsidRPr="00C1022D">
        <w:t xml:space="preserve"> 'Ulama, </w:t>
      </w:r>
      <w:proofErr w:type="spellStart"/>
      <w:r w:rsidRPr="00C1022D">
        <w:t>Muhammadiyah</w:t>
      </w:r>
      <w:proofErr w:type="spellEnd"/>
      <w:r w:rsidRPr="00C1022D">
        <w:t>) intervene.</w:t>
      </w:r>
    </w:p>
    <w:p w14:paraId="1EDF0DDD" w14:textId="4F7E0891" w:rsidR="009E150C" w:rsidRDefault="009E150C" w:rsidP="00C1022D">
      <w:pPr>
        <w:pStyle w:val="Heading3"/>
      </w:pPr>
      <w:r>
        <w:t>Own responsibility for protection</w:t>
      </w:r>
    </w:p>
    <w:p w14:paraId="6E239480" w14:textId="0BDED140" w:rsidR="009E150C" w:rsidRDefault="009E150C" w:rsidP="009E150C">
      <w:r>
        <w:t>The Ahmadiyya community, locally and nationally, consider themselves very organized. There is even contact with international branches, in Pakistan or with the headquarters in the UK. The structure is based on the Caliphate system and is hierarchical. An example is with reporting incidents, where permission is needed from the village and district leader or JAI. They allow their members to file a report independently to the police, especially when it involves a criminal act, but often they will give a recommendation. They can also provide legal aid in certain branches through JAI. Not all branches provide this service. For other criminal acts, like harassment or discrimination, it is more difficult to prove, hence more examples are needed. Members of Ahmadiyya community often report an incident against them to NGOs to compile data.</w:t>
      </w:r>
      <w:r w:rsidRPr="00C627ED">
        <w:t xml:space="preserve"> </w:t>
      </w:r>
    </w:p>
    <w:p w14:paraId="6604DBB3" w14:textId="3335473B" w:rsidR="009E150C" w:rsidRDefault="009E150C" w:rsidP="009E150C">
      <w:r>
        <w:lastRenderedPageBreak/>
        <w:t>JAI could, for instance, advise no</w:t>
      </w:r>
      <w:r w:rsidR="003756BA">
        <w:t>t</w:t>
      </w:r>
      <w:r>
        <w:t xml:space="preserve"> to publish a </w:t>
      </w:r>
      <w:r w:rsidRPr="00AA49E3">
        <w:t xml:space="preserve">report of </w:t>
      </w:r>
      <w:r>
        <w:t>incident</w:t>
      </w:r>
      <w:r w:rsidRPr="00AA49E3">
        <w:t xml:space="preserve"> in mass media or social media, in order to prevent another </w:t>
      </w:r>
      <w:r>
        <w:t xml:space="preserve">incident with a larger </w:t>
      </w:r>
      <w:r w:rsidRPr="00AA49E3">
        <w:t xml:space="preserve">impact. </w:t>
      </w:r>
      <w:r>
        <w:t>Sometimes</w:t>
      </w:r>
      <w:r w:rsidRPr="00AA49E3">
        <w:t xml:space="preserve"> </w:t>
      </w:r>
      <w:r>
        <w:t>it is advised to seek media attention,</w:t>
      </w:r>
      <w:r w:rsidRPr="00AA49E3">
        <w:t xml:space="preserve"> in o</w:t>
      </w:r>
      <w:r>
        <w:t xml:space="preserve">rder to attract national news and gain the attention from government and public institutions and individuals. Every year a meeting, called </w:t>
      </w:r>
      <w:proofErr w:type="spellStart"/>
      <w:r>
        <w:t>Syuro</w:t>
      </w:r>
      <w:proofErr w:type="spellEnd"/>
      <w:r>
        <w:t xml:space="preserve">, with all the leaders of the JAI branches is held. Among many other issues, security and protection is a fixed point on the </w:t>
      </w:r>
      <w:r w:rsidR="002C2A94" w:rsidRPr="006266CF">
        <w:rPr>
          <w:noProof/>
        </w:rPr>
        <mc:AlternateContent>
          <mc:Choice Requires="wps">
            <w:drawing>
              <wp:anchor distT="45720" distB="45720" distL="114300" distR="114300" simplePos="0" relativeHeight="251685888" behindDoc="0" locked="0" layoutInCell="1" allowOverlap="1" wp14:anchorId="1990F916" wp14:editId="52AAF2A2">
                <wp:simplePos x="0" y="0"/>
                <wp:positionH relativeFrom="margin">
                  <wp:posOffset>4141470</wp:posOffset>
                </wp:positionH>
                <wp:positionV relativeFrom="paragraph">
                  <wp:posOffset>1130935</wp:posOffset>
                </wp:positionV>
                <wp:extent cx="2148840" cy="242316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2423160"/>
                        </a:xfrm>
                        <a:prstGeom prst="rect">
                          <a:avLst/>
                        </a:prstGeom>
                        <a:solidFill>
                          <a:srgbClr val="FFFFFF"/>
                        </a:solidFill>
                        <a:ln w="9525">
                          <a:noFill/>
                          <a:miter lim="800000"/>
                          <a:headEnd/>
                          <a:tailEnd/>
                        </a:ln>
                      </wps:spPr>
                      <wps:txbx>
                        <w:txbxContent>
                          <w:p w14:paraId="5A16389B" w14:textId="637C80C2" w:rsidR="00F52A18" w:rsidRPr="00BB2229" w:rsidRDefault="00F52A18" w:rsidP="00666A66">
                            <w:pPr>
                              <w:pBdr>
                                <w:left w:val="single" w:sz="4" w:space="4" w:color="3597EB" w:themeColor="accent2"/>
                              </w:pBdr>
                              <w:spacing w:after="0"/>
                              <w:jc w:val="right"/>
                              <w:rPr>
                                <w:color w:val="3597EB" w:themeColor="accent2"/>
                                <w:sz w:val="24"/>
                              </w:rPr>
                            </w:pPr>
                            <w:r>
                              <w:rPr>
                                <w:color w:val="3597EB" w:themeColor="accent2"/>
                                <w:sz w:val="24"/>
                              </w:rPr>
                              <w:t xml:space="preserve">A man during the FGD in Sukabumi: </w:t>
                            </w:r>
                            <w:r w:rsidRPr="009E4200">
                              <w:rPr>
                                <w:color w:val="3597EB" w:themeColor="accent2"/>
                                <w:sz w:val="24"/>
                              </w:rPr>
                              <w:t>“</w:t>
                            </w:r>
                            <w:r>
                              <w:rPr>
                                <w:color w:val="3597EB" w:themeColor="accent2"/>
                                <w:sz w:val="24"/>
                              </w:rPr>
                              <w:t>We were ordered by our C</w:t>
                            </w:r>
                            <w:r w:rsidRPr="00666A66">
                              <w:rPr>
                                <w:color w:val="3597EB" w:themeColor="accent2"/>
                                <w:sz w:val="24"/>
                              </w:rPr>
                              <w:t>aliph to expand our network with communities around us, law enforcement agencies and Islamic leaders. In Sukabumi city for instance, our relationship with</w:t>
                            </w:r>
                            <w:r>
                              <w:rPr>
                                <w:color w:val="3597EB" w:themeColor="accent2"/>
                                <w:sz w:val="24"/>
                              </w:rPr>
                              <w:t xml:space="preserve"> the local police is quite good</w:t>
                            </w:r>
                            <w:r w:rsidRPr="00666A66">
                              <w:rPr>
                                <w:color w:val="3597EB" w:themeColor="accent2"/>
                                <w:sz w:val="24"/>
                              </w:rPr>
                              <w:t>.</w:t>
                            </w:r>
                            <w:r w:rsidRPr="0064680A">
                              <w:rPr>
                                <w:color w:val="3597EB" w:themeColor="accent2"/>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0F916" id="_x0000_s1031" type="#_x0000_t202" style="position:absolute;left:0;text-align:left;margin-left:326.1pt;margin-top:89.05pt;width:169.2pt;height:190.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FGIgIAACMEAAAOAAAAZHJzL2Uyb0RvYy54bWysU9uO2yAQfa/Uf0C8N7402WatOKtttqkq&#10;bS/Sbj8AYxyjAkOBxE6/fgecpFH7VtUPiGGG4zPnDKu7UStyEM5LMDUtZjklwnBopdnV9Pvz9s2S&#10;Eh+YaZkCI2p6FJ7erV+/Wg22EiX0oFrhCIIYXw22pn0Itsoyz3uhmZ+BFQaTHTjNAoZul7WODYiu&#10;VVbm+U02gGutAy68x9OHKUnXCb/rBA9fu86LQFRNkVtIq0trE9dsvWLVzjHbS36iwf6BhWbS4E8v&#10;UA8sMLJ38i8oLbkDD12YcdAZdJ3kIvWA3RT5H9089cyK1AuK4+1FJv//YPmXwzdHZIveUWKYRoue&#10;xRjIexhJGdUZrK+w6MliWRjxOFbGTr19BP7DEwObnpmduHcOhl6wFtkV8WZ2dXXC8RGkGT5Di79h&#10;+wAJaOycjoAoBkF0dOl4cSZS4XhYFvPlco4pjrlyXr4tbpJ3GavO163z4aMATeKmpg6tT/Ds8OhD&#10;pMOqc0miD0q2W6lUCtyu2ShHDgzHZJu+1AF2eV2mDBlqersoFwnZQLyfJkjLgGOspK7pMo/fNFhR&#10;jg+mTSWBSTXtkYkyJ32iJJM4YWzGZMTiLHsD7REFczBNLb4y3PTgflEy4MTW1P/cMycoUZ8Min5b&#10;zKNCIQXzxbsSA3edaa4zzHCEqmmgZNpuQnoWUQ4D92hOJ5Ns0cWJyYkyTmJS8/Rq4qhfx6nq99te&#10;vwAAAP//AwBQSwMEFAAGAAgAAAAhABNqeSzfAAAACwEAAA8AAABkcnMvZG93bnJldi54bWxMj9FO&#10;g0AQRd9N/IfNmPhi7FIiUChLoyYaX1v7AQM7BVJ2lrDbQv/e9UkfJ/fk3jPlbjGDuNLkessK1qsI&#10;BHFjdc+tguP3x/MGhPPIGgfLpOBGDnbV/V2JhbYz7+l68K0IJewKVNB5PxZSuqYjg25lR+KQnexk&#10;0IdzaqWecA7lZpBxFKXSYM9hocOR3jtqzoeLUXD6mp+SfK4//THbv6Rv2Ge1vSn1+LC8bkF4Wvwf&#10;DL/6QR2q4FTbC2snBgVpEscBDUG2WYMIRJ5HKYhaQZLkGciqlP9/qH4AAAD//wMAUEsBAi0AFAAG&#10;AAgAAAAhALaDOJL+AAAA4QEAABMAAAAAAAAAAAAAAAAAAAAAAFtDb250ZW50X1R5cGVzXS54bWxQ&#10;SwECLQAUAAYACAAAACEAOP0h/9YAAACUAQAACwAAAAAAAAAAAAAAAAAvAQAAX3JlbHMvLnJlbHNQ&#10;SwECLQAUAAYACAAAACEATZghRiICAAAjBAAADgAAAAAAAAAAAAAAAAAuAgAAZHJzL2Uyb0RvYy54&#10;bWxQSwECLQAUAAYACAAAACEAE2p5LN8AAAALAQAADwAAAAAAAAAAAAAAAAB8BAAAZHJzL2Rvd25y&#10;ZXYueG1sUEsFBgAAAAAEAAQA8wAAAIgFAAAAAA==&#10;" stroked="f">
                <v:textbox>
                  <w:txbxContent>
                    <w:p w14:paraId="5A16389B" w14:textId="637C80C2" w:rsidR="00F52A18" w:rsidRPr="00BB2229" w:rsidRDefault="00F52A18" w:rsidP="00666A66">
                      <w:pPr>
                        <w:pBdr>
                          <w:left w:val="single" w:sz="4" w:space="4" w:color="3597EB" w:themeColor="accent2"/>
                        </w:pBdr>
                        <w:spacing w:after="0"/>
                        <w:jc w:val="right"/>
                        <w:rPr>
                          <w:color w:val="3597EB" w:themeColor="accent2"/>
                          <w:sz w:val="24"/>
                        </w:rPr>
                      </w:pPr>
                      <w:r>
                        <w:rPr>
                          <w:color w:val="3597EB" w:themeColor="accent2"/>
                          <w:sz w:val="24"/>
                        </w:rPr>
                        <w:t xml:space="preserve">A man during the FGD in Sukabumi: </w:t>
                      </w:r>
                      <w:r w:rsidRPr="009E4200">
                        <w:rPr>
                          <w:color w:val="3597EB" w:themeColor="accent2"/>
                          <w:sz w:val="24"/>
                        </w:rPr>
                        <w:t>“</w:t>
                      </w:r>
                      <w:r>
                        <w:rPr>
                          <w:color w:val="3597EB" w:themeColor="accent2"/>
                          <w:sz w:val="24"/>
                        </w:rPr>
                        <w:t>We were ordered by our C</w:t>
                      </w:r>
                      <w:r w:rsidRPr="00666A66">
                        <w:rPr>
                          <w:color w:val="3597EB" w:themeColor="accent2"/>
                          <w:sz w:val="24"/>
                        </w:rPr>
                        <w:t>aliph to expand our network with communities around us, law enforcement agencies and Islamic leaders. In Sukabumi city for instance, our relationship with</w:t>
                      </w:r>
                      <w:r>
                        <w:rPr>
                          <w:color w:val="3597EB" w:themeColor="accent2"/>
                          <w:sz w:val="24"/>
                        </w:rPr>
                        <w:t xml:space="preserve"> the local police is quite good</w:t>
                      </w:r>
                      <w:r w:rsidRPr="00666A66">
                        <w:rPr>
                          <w:color w:val="3597EB" w:themeColor="accent2"/>
                          <w:sz w:val="24"/>
                        </w:rPr>
                        <w:t>.</w:t>
                      </w:r>
                      <w:r w:rsidRPr="0064680A">
                        <w:rPr>
                          <w:color w:val="3597EB" w:themeColor="accent2"/>
                          <w:sz w:val="24"/>
                        </w:rPr>
                        <w:t>”</w:t>
                      </w:r>
                    </w:p>
                  </w:txbxContent>
                </v:textbox>
                <w10:wrap type="square" anchorx="margin"/>
              </v:shape>
            </w:pict>
          </mc:Fallback>
        </mc:AlternateContent>
      </w:r>
      <w:r>
        <w:t>agenda. Decisions made during this meeting are followed and implemented by all the branches.</w:t>
      </w:r>
    </w:p>
    <w:p w14:paraId="636D3CC3" w14:textId="64BFF560" w:rsidR="009E150C" w:rsidRDefault="009E150C" w:rsidP="009E150C">
      <w:r>
        <w:t>As mentioned before, the Ahmadiyya perform ac</w:t>
      </w:r>
      <w:r w:rsidR="000F7E06">
        <w:t xml:space="preserve">tively the </w:t>
      </w:r>
      <w:proofErr w:type="spellStart"/>
      <w:r w:rsidR="000F7E06">
        <w:t>Rabtah</w:t>
      </w:r>
      <w:proofErr w:type="spellEnd"/>
      <w:r>
        <w:t xml:space="preserve">. Every Ahmadiyya is encouraged to have a good relationship with their surroundings. They make visits to the government, the police, religious leaders or with other religious people in the neighbourhood or invite them to their place. After an incident, the Ahmadiyya leaders intensify the </w:t>
      </w:r>
      <w:proofErr w:type="spellStart"/>
      <w:r>
        <w:t>Rabtah</w:t>
      </w:r>
      <w:proofErr w:type="spellEnd"/>
      <w:r>
        <w:t xml:space="preserve">. In that way, an open discussion is possible for others to better understand the position and situation of Ahmadiyya. It can also debunk misleading information and take away stigmatization in the local community. A good example is the period after MUI issued the Fatwa. Ahmadis everywhere opened the dialogue to show others they have good intentions. They combine the </w:t>
      </w:r>
      <w:proofErr w:type="spellStart"/>
      <w:r>
        <w:t>Rabtah</w:t>
      </w:r>
      <w:proofErr w:type="spellEnd"/>
      <w:r>
        <w:t xml:space="preserve"> with organizing social activities in the communities and supporting the society by donating blood to hospitals and help people in the procedure of obtaining health insurance. By educating children at a young age in Islamic Boarding Schools, they try teach them to think positiv</w:t>
      </w:r>
      <w:r w:rsidR="002C2A94">
        <w:t>ely about Ahmadiyya. In Sukabumi</w:t>
      </w:r>
      <w:r>
        <w:t xml:space="preserve"> for instance, the Ahmadiyya regularly meet with the police to discuss the current situation and to secure the protection from them. In the long term, all these different activities have to lead to a better understanding, more tolerance and better protection of the Ahmadiyya community.</w:t>
      </w:r>
    </w:p>
    <w:p w14:paraId="17A3277F" w14:textId="01D14EB7" w:rsidR="009E150C" w:rsidRDefault="009E150C" w:rsidP="00D60044">
      <w:r w:rsidRPr="00EA1353">
        <w:t>There is a hierarchical structure for reporting incidents and taking a certain issue to the media, but</w:t>
      </w:r>
      <w:r w:rsidR="006E39B3">
        <w:t xml:space="preserve"> there is</w:t>
      </w:r>
      <w:r w:rsidRPr="00EA1353">
        <w:t xml:space="preserve"> not a special procedure to address violence when it occurs. The strategy, fostered by the Caliph, is to avoid violence in the first place. If it happens, members of Ahmadiyya community should not </w:t>
      </w:r>
      <w:r>
        <w:t>retaliate,</w:t>
      </w:r>
      <w:r w:rsidR="006E39B3">
        <w:t xml:space="preserve"> in order to</w:t>
      </w:r>
      <w:r w:rsidRPr="00EA1353">
        <w:t xml:space="preserve"> prevent other incidents and negative impacts. </w:t>
      </w:r>
    </w:p>
    <w:p w14:paraId="133CC3C5" w14:textId="21A26988" w:rsidR="001713AC" w:rsidRDefault="00666A66" w:rsidP="001713AC">
      <w:pPr>
        <w:pStyle w:val="Heading3"/>
      </w:pPr>
      <w:r w:rsidRPr="006266CF">
        <w:rPr>
          <w:noProof/>
        </w:rPr>
        <mc:AlternateContent>
          <mc:Choice Requires="wps">
            <w:drawing>
              <wp:anchor distT="45720" distB="45720" distL="114300" distR="114300" simplePos="0" relativeHeight="251675648" behindDoc="0" locked="0" layoutInCell="1" allowOverlap="1" wp14:anchorId="0FB855A9" wp14:editId="3544FA02">
                <wp:simplePos x="0" y="0"/>
                <wp:positionH relativeFrom="margin">
                  <wp:posOffset>4183380</wp:posOffset>
                </wp:positionH>
                <wp:positionV relativeFrom="paragraph">
                  <wp:posOffset>264160</wp:posOffset>
                </wp:positionV>
                <wp:extent cx="2148840" cy="1657350"/>
                <wp:effectExtent l="0" t="0" r="3810" b="381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657350"/>
                        </a:xfrm>
                        <a:prstGeom prst="rect">
                          <a:avLst/>
                        </a:prstGeom>
                        <a:solidFill>
                          <a:srgbClr val="FFFFFF"/>
                        </a:solidFill>
                        <a:ln w="9525">
                          <a:noFill/>
                          <a:miter lim="800000"/>
                          <a:headEnd/>
                          <a:tailEnd/>
                        </a:ln>
                      </wps:spPr>
                      <wps:txbx>
                        <w:txbxContent>
                          <w:p w14:paraId="501AC13F" w14:textId="2B54F054" w:rsidR="00F52A18" w:rsidRPr="00BB2229" w:rsidRDefault="00F52A18" w:rsidP="0064680A">
                            <w:pPr>
                              <w:pBdr>
                                <w:left w:val="single" w:sz="4" w:space="4" w:color="3597EB" w:themeColor="accent2"/>
                              </w:pBdr>
                              <w:spacing w:after="0"/>
                              <w:jc w:val="right"/>
                              <w:rPr>
                                <w:color w:val="3597EB" w:themeColor="accent2"/>
                                <w:sz w:val="24"/>
                              </w:rPr>
                            </w:pPr>
                            <w:r>
                              <w:rPr>
                                <w:color w:val="3597EB" w:themeColor="accent2"/>
                                <w:sz w:val="24"/>
                              </w:rPr>
                              <w:t xml:space="preserve">An Ahmadiyya woman during the FGD in Sukabumi: </w:t>
                            </w:r>
                            <w:r w:rsidRPr="009E4200">
                              <w:rPr>
                                <w:color w:val="3597EB" w:themeColor="accent2"/>
                                <w:sz w:val="24"/>
                              </w:rPr>
                              <w:t>“</w:t>
                            </w:r>
                            <w:r w:rsidRPr="0064680A">
                              <w:rPr>
                                <w:color w:val="3597EB" w:themeColor="accent2"/>
                                <w:sz w:val="24"/>
                              </w:rPr>
                              <w:t>My siblings were prosecuted once</w:t>
                            </w:r>
                            <w:r>
                              <w:rPr>
                                <w:color w:val="3597EB" w:themeColor="accent2"/>
                                <w:sz w:val="24"/>
                              </w:rPr>
                              <w:t>,</w:t>
                            </w:r>
                            <w:r w:rsidRPr="0064680A">
                              <w:rPr>
                                <w:color w:val="3597EB" w:themeColor="accent2"/>
                                <w:sz w:val="24"/>
                              </w:rPr>
                              <w:t xml:space="preserve"> but </w:t>
                            </w:r>
                            <w:r>
                              <w:rPr>
                                <w:color w:val="3597EB" w:themeColor="accent2"/>
                                <w:sz w:val="24"/>
                              </w:rPr>
                              <w:t xml:space="preserve">we were lucky to get legal assistance from </w:t>
                            </w:r>
                            <w:proofErr w:type="spellStart"/>
                            <w:r w:rsidRPr="0064680A">
                              <w:rPr>
                                <w:color w:val="3597EB" w:themeColor="accent2"/>
                                <w:sz w:val="24"/>
                              </w:rPr>
                              <w:t>Hajakarta</w:t>
                            </w:r>
                            <w:proofErr w:type="spellEnd"/>
                            <w:r w:rsidRPr="0064680A">
                              <w:rPr>
                                <w:color w:val="3597EB" w:themeColor="accent2"/>
                                <w:sz w:val="24"/>
                              </w:rPr>
                              <w:t xml:space="preserve"> NGO”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855A9" id="_x0000_s1032" type="#_x0000_t202" style="position:absolute;margin-left:329.4pt;margin-top:20.8pt;width:169.2pt;height:130.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gIJAIAACQEAAAOAAAAZHJzL2Uyb0RvYy54bWysU9uO2yAQfa/Uf0C8N47dJJu14qy22aaq&#10;tL1Iu/0AjHGMCgwFEjv9+h1wkkbbt6o8IIYZDjPnzKzuBq3IQTgvwVQ0n0wpEYZDI82uoj+et++W&#10;lPjATMMUGFHRo/D0bv32zaq3pSigA9UIRxDE+LK3Fe1CsGWWed4JzfwErDDobMFpFtB0u6xxrEd0&#10;rbJiOl1kPbjGOuDCe7x9GJ10nfDbVvDwrW29CERVFHMLaXdpr+OerVes3DlmO8lPabB/yEIzafDT&#10;C9QDC4zsnfwLSkvuwEMbJhx0Bm0ruUg1YDX59FU1Tx2zItWC5Hh7ocn/P1j+9fDdEdlUtFhQYphG&#10;jZ7FEMgHGEgR6emtLzHqyWJcGPAaZU6levsI/KcnBjYdMztx7xz0nWANppfHl9nV0xHHR5C6/wIN&#10;fsP2ARLQ0DoduUM2CKKjTMeLNDEVjpdFPlsuZ+ji6MsX85v38yRexsrzc+t8+CRAk3ioqEPtEzw7&#10;PPoQ02HlOST+5kHJZiuVSobb1RvlyIFhn2zTShW8ClOG9BW9nRfzhGwgvk8tpGXAPlZSV3Q5jWvs&#10;rEjHR9OkkMCkGs+YiTInfiIlIzlhqIekxOJMew3NEQlzMLYtjhkeOnC/KemxZSvqf+2ZE5SozwZJ&#10;v81nkaGQjNn8pkDDXXvqaw8zHKEqGigZj5uQ5iLSYeAexWlloi2qOGZyShlbMbF5GpvY69d2ivoz&#10;3OsXAAAA//8DAFBLAwQUAAYACAAAACEAbMJVad8AAAAKAQAADwAAAGRycy9kb3ducmV2LnhtbEyP&#10;QU+DQBSE7yb+h80z8WLsUmyXQnk0aqLx2tof8IBXIGV3Cbst9N+7nvQ4mcnMN/lu1r248ug6axCW&#10;iwgEm8rWnWkQjt8fzxsQzpOpqbeGEW7sYFfc3+WU1XYye74efCNCiXEZIbTeD5mUrmpZk1vYgU3w&#10;TnbU5IMcG1mPNIVy3cs4ipTU1Jmw0NLA7y1X58NFI5y+pqd1OpWf/pjsV+qNuqS0N8THh/l1C8Lz&#10;7P/C8Isf0KEITKW9mNqJHkGtNwHdI6yWCkQIpGkSgygRXqJYgSxy+f9C8QMAAP//AwBQSwECLQAU&#10;AAYACAAAACEAtoM4kv4AAADhAQAAEwAAAAAAAAAAAAAAAAAAAAAAW0NvbnRlbnRfVHlwZXNdLnht&#10;bFBLAQItABQABgAIAAAAIQA4/SH/1gAAAJQBAAALAAAAAAAAAAAAAAAAAC8BAABfcmVscy8ucmVs&#10;c1BLAQItABQABgAIAAAAIQD2FLgIJAIAACQEAAAOAAAAAAAAAAAAAAAAAC4CAABkcnMvZTJvRG9j&#10;LnhtbFBLAQItABQABgAIAAAAIQBswlVp3wAAAAoBAAAPAAAAAAAAAAAAAAAAAH4EAABkcnMvZG93&#10;bnJldi54bWxQSwUGAAAAAAQABADzAAAAigUAAAAA&#10;" stroked="f">
                <v:textbox>
                  <w:txbxContent>
                    <w:p w14:paraId="501AC13F" w14:textId="2B54F054" w:rsidR="00F52A18" w:rsidRPr="00BB2229" w:rsidRDefault="00F52A18" w:rsidP="0064680A">
                      <w:pPr>
                        <w:pBdr>
                          <w:left w:val="single" w:sz="4" w:space="4" w:color="3597EB" w:themeColor="accent2"/>
                        </w:pBdr>
                        <w:spacing w:after="0"/>
                        <w:jc w:val="right"/>
                        <w:rPr>
                          <w:color w:val="3597EB" w:themeColor="accent2"/>
                          <w:sz w:val="24"/>
                        </w:rPr>
                      </w:pPr>
                      <w:r>
                        <w:rPr>
                          <w:color w:val="3597EB" w:themeColor="accent2"/>
                          <w:sz w:val="24"/>
                        </w:rPr>
                        <w:t xml:space="preserve">An Ahmadiyya woman during the FGD in Sukabumi: </w:t>
                      </w:r>
                      <w:r w:rsidRPr="009E4200">
                        <w:rPr>
                          <w:color w:val="3597EB" w:themeColor="accent2"/>
                          <w:sz w:val="24"/>
                        </w:rPr>
                        <w:t>“</w:t>
                      </w:r>
                      <w:r w:rsidRPr="0064680A">
                        <w:rPr>
                          <w:color w:val="3597EB" w:themeColor="accent2"/>
                          <w:sz w:val="24"/>
                        </w:rPr>
                        <w:t>My siblings were prosecuted once</w:t>
                      </w:r>
                      <w:r>
                        <w:rPr>
                          <w:color w:val="3597EB" w:themeColor="accent2"/>
                          <w:sz w:val="24"/>
                        </w:rPr>
                        <w:t>,</w:t>
                      </w:r>
                      <w:r w:rsidRPr="0064680A">
                        <w:rPr>
                          <w:color w:val="3597EB" w:themeColor="accent2"/>
                          <w:sz w:val="24"/>
                        </w:rPr>
                        <w:t xml:space="preserve"> but </w:t>
                      </w:r>
                      <w:r>
                        <w:rPr>
                          <w:color w:val="3597EB" w:themeColor="accent2"/>
                          <w:sz w:val="24"/>
                        </w:rPr>
                        <w:t xml:space="preserve">we were lucky to get legal assistance from </w:t>
                      </w:r>
                      <w:proofErr w:type="spellStart"/>
                      <w:r w:rsidRPr="0064680A">
                        <w:rPr>
                          <w:color w:val="3597EB" w:themeColor="accent2"/>
                          <w:sz w:val="24"/>
                        </w:rPr>
                        <w:t>Hajakarta</w:t>
                      </w:r>
                      <w:proofErr w:type="spellEnd"/>
                      <w:r w:rsidRPr="0064680A">
                        <w:rPr>
                          <w:color w:val="3597EB" w:themeColor="accent2"/>
                          <w:sz w:val="24"/>
                        </w:rPr>
                        <w:t xml:space="preserve"> NGO”</w:t>
                      </w:r>
                    </w:p>
                  </w:txbxContent>
                </v:textbox>
                <w10:wrap type="square" anchorx="margin"/>
              </v:shape>
            </w:pict>
          </mc:Fallback>
        </mc:AlternateContent>
      </w:r>
      <w:r w:rsidR="001713AC">
        <w:t>Non-Government Organizations</w:t>
      </w:r>
    </w:p>
    <w:p w14:paraId="0D0B8340" w14:textId="40EE9B7F" w:rsidR="00832E29" w:rsidRDefault="00955D89" w:rsidP="008A46E3">
      <w:r>
        <w:t>A special role is seen for local NGOs, especially those whose mission is to safeguard the freedom of religion in Indonesia. In eve</w:t>
      </w:r>
      <w:r w:rsidR="009E150C">
        <w:t>ry of the five areas</w:t>
      </w:r>
      <w:r>
        <w:t>, the NGOs help them with the specific needs of that area, whether</w:t>
      </w:r>
      <w:r w:rsidR="00AC0C57">
        <w:t xml:space="preserve"> it</w:t>
      </w:r>
      <w:r>
        <w:t xml:space="preserve"> is advocacy, support in legal </w:t>
      </w:r>
      <w:r w:rsidR="00AC0C57">
        <w:t xml:space="preserve">aid </w:t>
      </w:r>
      <w:r>
        <w:t>or social inclusion.</w:t>
      </w:r>
      <w:r w:rsidR="00AC0C57">
        <w:t xml:space="preserve"> In almost every area they protect them in their rights to obtain</w:t>
      </w:r>
      <w:r w:rsidR="009E150C">
        <w:t xml:space="preserve"> public services</w:t>
      </w:r>
      <w:r w:rsidR="00AC0C57">
        <w:t>.</w:t>
      </w:r>
      <w:r w:rsidR="00237692">
        <w:t xml:space="preserve"> </w:t>
      </w:r>
      <w:r w:rsidR="009E150C">
        <w:t>In Sukabumi a complaint was heard about t</w:t>
      </w:r>
      <w:r w:rsidR="00237692">
        <w:t>h</w:t>
      </w:r>
      <w:r w:rsidR="009E150C">
        <w:t>e capacity of some of the NGOs</w:t>
      </w:r>
      <w:r w:rsidR="00DF3229">
        <w:t xml:space="preserve"> and the sustainability of their projects</w:t>
      </w:r>
      <w:r w:rsidR="00237692">
        <w:t xml:space="preserve">. </w:t>
      </w:r>
      <w:r w:rsidR="006E3460">
        <w:t xml:space="preserve">After a project is finished there </w:t>
      </w:r>
      <w:r w:rsidR="006E3460">
        <w:lastRenderedPageBreak/>
        <w:t>is no follow-up and the old conditions return to the vil</w:t>
      </w:r>
      <w:r w:rsidR="00DF3229">
        <w:t>lages</w:t>
      </w:r>
      <w:r w:rsidR="009E150C">
        <w:t>.</w:t>
      </w:r>
      <w:r w:rsidR="006E3460">
        <w:t xml:space="preserve"> </w:t>
      </w:r>
      <w:r w:rsidR="00500C95">
        <w:t>A better collaboration betwee</w:t>
      </w:r>
      <w:r w:rsidR="00BB05E1">
        <w:t>n the different NGOs is needed</w:t>
      </w:r>
      <w:r w:rsidR="00500C95">
        <w:t>, as the different strategies of every NGO is not in the bene</w:t>
      </w:r>
      <w:r w:rsidR="00BB05E1">
        <w:t>fit of the Ahmadiyya community.</w:t>
      </w:r>
    </w:p>
    <w:p w14:paraId="2CDE31B1" w14:textId="49EDB8DB" w:rsidR="00353FA5" w:rsidRDefault="006E3460" w:rsidP="008A46E3">
      <w:r>
        <w:t>Some local government and police officials</w:t>
      </w:r>
      <w:r w:rsidR="007E4E08">
        <w:t xml:space="preserve"> state</w:t>
      </w:r>
      <w:r w:rsidR="000F7E06">
        <w:t>d in the KII that</w:t>
      </w:r>
      <w:r>
        <w:t xml:space="preserve"> i</w:t>
      </w:r>
      <w:r w:rsidRPr="006E3460">
        <w:t xml:space="preserve">t is difficult to include Ahmadiyya in the society because of their beliefs </w:t>
      </w:r>
      <w:r w:rsidR="007E4E08">
        <w:t>and because they are isolating themselves</w:t>
      </w:r>
      <w:r w:rsidRPr="006E3460">
        <w:t>.</w:t>
      </w:r>
      <w:r w:rsidR="007E4E08">
        <w:t xml:space="preserve"> The NGOs see this a serious challenge and want to support them in organizing social activities and maintaining a good relationship between each other.</w:t>
      </w:r>
      <w:r w:rsidR="009E150C">
        <w:t xml:space="preserve"> Ahmadis believe in the mediating role for NGOs to maintain social inclusion.</w:t>
      </w:r>
      <w:r w:rsidR="00BB05E1">
        <w:t xml:space="preserve"> As Ahmadis are able to represent themselves, it is often more practicable to let yourself be represented and supported by an outside group, who have bigger influence at the government level. NGOs are also able to start a dialogue between Ahmadis and their opposites as they are perceived more neutral by all stakeholders.</w:t>
      </w:r>
    </w:p>
    <w:p w14:paraId="488633D1" w14:textId="0E4CA7B4" w:rsidR="00DF3229" w:rsidRDefault="00DF3229" w:rsidP="008A46E3"/>
    <w:p w14:paraId="2DCA5B2A" w14:textId="16499938" w:rsidR="00DF3229" w:rsidRDefault="00DF3229" w:rsidP="008A46E3"/>
    <w:p w14:paraId="2087BA62" w14:textId="4EC869B3" w:rsidR="00DF3229" w:rsidRDefault="00DF3229" w:rsidP="008A46E3"/>
    <w:p w14:paraId="798BE169" w14:textId="78D2E6DF" w:rsidR="00DF3229" w:rsidRDefault="00DF3229" w:rsidP="008A46E3"/>
    <w:p w14:paraId="4DEFDED7" w14:textId="2009B1A1" w:rsidR="00DF3229" w:rsidRDefault="00DF3229" w:rsidP="008A46E3"/>
    <w:p w14:paraId="2EF03798" w14:textId="2B37F504" w:rsidR="00DF3229" w:rsidRDefault="00DF3229" w:rsidP="008A46E3"/>
    <w:p w14:paraId="1CBF6921" w14:textId="7F99A19B" w:rsidR="00DF3229" w:rsidRDefault="00DF3229" w:rsidP="008A46E3"/>
    <w:p w14:paraId="43D9AAEC" w14:textId="25C6F886" w:rsidR="00DF3229" w:rsidRDefault="00DF3229" w:rsidP="008A46E3"/>
    <w:p w14:paraId="5D38F1C3" w14:textId="20B1BD1A" w:rsidR="00DF3229" w:rsidRDefault="00DF3229" w:rsidP="008A46E3"/>
    <w:p w14:paraId="5DB05CAB" w14:textId="0116001F" w:rsidR="00DF3229" w:rsidRDefault="00DF3229" w:rsidP="008A46E3"/>
    <w:p w14:paraId="440F6507" w14:textId="4E006A38" w:rsidR="00DF3229" w:rsidRDefault="00DF3229" w:rsidP="008A46E3"/>
    <w:p w14:paraId="456F9542" w14:textId="6CC1D540" w:rsidR="00DF3229" w:rsidRDefault="00DF3229" w:rsidP="008A46E3"/>
    <w:p w14:paraId="631EDE9A" w14:textId="230F27F3" w:rsidR="00C1022D" w:rsidRDefault="00C1022D" w:rsidP="008A46E3"/>
    <w:p w14:paraId="177C4C6D" w14:textId="026C03F4" w:rsidR="00C1022D" w:rsidRDefault="00C1022D" w:rsidP="008A46E3"/>
    <w:p w14:paraId="04E04AF0" w14:textId="1322E46F" w:rsidR="00C1022D" w:rsidRDefault="00C1022D" w:rsidP="008A46E3"/>
    <w:p w14:paraId="3CA227DA" w14:textId="77777777" w:rsidR="00C1022D" w:rsidRDefault="00C1022D" w:rsidP="008A46E3"/>
    <w:p w14:paraId="3057B7A2" w14:textId="77777777" w:rsidR="00276959" w:rsidRPr="00B42E35" w:rsidRDefault="00276959" w:rsidP="00B42E35">
      <w:pPr>
        <w:pStyle w:val="Heading1"/>
      </w:pPr>
      <w:bookmarkStart w:id="26" w:name="_Toc477294879"/>
      <w:r w:rsidRPr="00B42E35">
        <w:lastRenderedPageBreak/>
        <w:t>Conclusion &amp; Recommendations</w:t>
      </w:r>
      <w:bookmarkEnd w:id="26"/>
    </w:p>
    <w:p w14:paraId="302C9E3D" w14:textId="01009478" w:rsidR="00276959" w:rsidRPr="00276959" w:rsidRDefault="009D7158" w:rsidP="00276959">
      <w:pPr>
        <w:rPr>
          <w:color w:val="000000"/>
        </w:rPr>
      </w:pPr>
      <w:r>
        <w:rPr>
          <w:color w:val="000000"/>
        </w:rPr>
        <w:t>Figure 16</w:t>
      </w:r>
      <w:r w:rsidR="00276959" w:rsidRPr="00276959">
        <w:rPr>
          <w:color w:val="000000"/>
        </w:rPr>
        <w:t xml:space="preserve"> outlines specific percentages on the feeling and experiences of the Ahmadis, living in Sukabumi, Bogor, Depok, Tasikmalaya and Kuningan, on exclusion, discrimination and violence.</w:t>
      </w:r>
    </w:p>
    <w:p w14:paraId="3ABF6294" w14:textId="77777777" w:rsidR="00276959" w:rsidRPr="00276959" w:rsidRDefault="00276959" w:rsidP="00276959">
      <w:pPr>
        <w:rPr>
          <w:color w:val="000000"/>
        </w:rPr>
      </w:pPr>
      <w:r w:rsidRPr="00276959">
        <w:rPr>
          <w:noProof/>
          <w:color w:val="000000"/>
        </w:rPr>
        <w:drawing>
          <wp:inline distT="0" distB="0" distL="0" distR="0" wp14:anchorId="6BD23E82" wp14:editId="7BB501E0">
            <wp:extent cx="6507480" cy="3162300"/>
            <wp:effectExtent l="0" t="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B358821" w14:textId="7121267D" w:rsidR="00276959" w:rsidRPr="00276959" w:rsidRDefault="009D7158" w:rsidP="00276959">
      <w:pPr>
        <w:widowControl/>
        <w:autoSpaceDE/>
        <w:autoSpaceDN/>
        <w:adjustRightInd/>
        <w:spacing w:before="80" w:after="40" w:line="240" w:lineRule="auto"/>
        <w:ind w:left="868" w:hanging="811"/>
        <w:jc w:val="left"/>
        <w:rPr>
          <w:rFonts w:eastAsia="Calibri" w:cs="Arial"/>
          <w:color w:val="3597EB"/>
          <w:sz w:val="18"/>
          <w:szCs w:val="12"/>
          <w:lang w:val="en-AU"/>
        </w:rPr>
      </w:pPr>
      <w:r>
        <w:rPr>
          <w:rFonts w:eastAsia="Calibri" w:cs="Arial"/>
          <w:color w:val="3597EB"/>
          <w:sz w:val="18"/>
          <w:szCs w:val="12"/>
          <w:lang w:val="en-AU"/>
        </w:rPr>
        <w:t>Figure 16</w:t>
      </w:r>
      <w:r w:rsidR="00276959" w:rsidRPr="00276959">
        <w:rPr>
          <w:rFonts w:eastAsia="Calibri" w:cs="Arial"/>
          <w:color w:val="3597EB"/>
          <w:sz w:val="18"/>
          <w:szCs w:val="12"/>
          <w:lang w:val="en-AU"/>
        </w:rPr>
        <w:t>: Summary percentages on exclusion, discrimination and violence of Ahmadis living in the 5 research areas.</w:t>
      </w:r>
    </w:p>
    <w:p w14:paraId="2FB434F4" w14:textId="77777777" w:rsidR="00276959" w:rsidRPr="00276959" w:rsidRDefault="00276959" w:rsidP="00276959">
      <w:pPr>
        <w:rPr>
          <w:color w:val="000000"/>
          <w:lang w:val="en-AU"/>
        </w:rPr>
      </w:pPr>
    </w:p>
    <w:p w14:paraId="2F603BC0" w14:textId="2BD2875B" w:rsidR="00276959" w:rsidRPr="00276959" w:rsidRDefault="00276959" w:rsidP="00276959">
      <w:pPr>
        <w:rPr>
          <w:color w:val="000000"/>
        </w:rPr>
      </w:pPr>
      <w:r w:rsidRPr="00276959">
        <w:rPr>
          <w:color w:val="000000"/>
          <w:lang w:val="en-AU"/>
        </w:rPr>
        <w:t xml:space="preserve">Our research finds that the majority of Ahmadis have felt discriminated against in the last five years. This figure is the highest in Kuningan. Income, age and level of education plays a role to which extent an Ahmadiyya feels discriminated. </w:t>
      </w:r>
      <w:r w:rsidRPr="00276959">
        <w:rPr>
          <w:color w:val="000000"/>
        </w:rPr>
        <w:t>The lower the income and education</w:t>
      </w:r>
      <w:r w:rsidR="002D7E83">
        <w:rPr>
          <w:color w:val="000000"/>
        </w:rPr>
        <w:t>,</w:t>
      </w:r>
      <w:r w:rsidRPr="00276959">
        <w:rPr>
          <w:color w:val="000000"/>
        </w:rPr>
        <w:t xml:space="preserve"> the more Ahmadis </w:t>
      </w:r>
      <w:r w:rsidR="00FB365B">
        <w:rPr>
          <w:color w:val="000000"/>
        </w:rPr>
        <w:t>felt d</w:t>
      </w:r>
      <w:r w:rsidR="002D7E83">
        <w:rPr>
          <w:color w:val="000000"/>
        </w:rPr>
        <w:t>iscriminated. The older you the age, the</w:t>
      </w:r>
      <w:r w:rsidR="00B05ACE">
        <w:rPr>
          <w:color w:val="000000"/>
        </w:rPr>
        <w:t xml:space="preserve"> less you felt discriminated. But </w:t>
      </w:r>
      <w:r w:rsidR="00FB365B">
        <w:rPr>
          <w:color w:val="000000"/>
        </w:rPr>
        <w:t xml:space="preserve">if you are between 18 to 25, </w:t>
      </w:r>
      <w:r w:rsidR="00B05ACE">
        <w:rPr>
          <w:color w:val="000000"/>
        </w:rPr>
        <w:t>almost 75% of the respondent stated to have felt discriminated in the last five years.</w:t>
      </w:r>
    </w:p>
    <w:p w14:paraId="2FE3EB9F" w14:textId="32530C14" w:rsidR="002D7E83" w:rsidRPr="002D7E83" w:rsidRDefault="002D7E83" w:rsidP="002D7E83">
      <w:pPr>
        <w:rPr>
          <w:color w:val="000000"/>
        </w:rPr>
      </w:pPr>
      <w:r w:rsidRPr="002D7E83">
        <w:rPr>
          <w:color w:val="000000"/>
        </w:rPr>
        <w:t>Also in accessing public services, 40.50% of the respondents have experienced discrimination. The most difficult service to access is registering marriage at the office of Religious Affairs. Health services and free education are easy accessible for the Ahmadiyya. Again Kuningan, but also Tasikmalaya are the areas most likely for Ahmadis to experience discrimination in accessing public services. Also, women are facing more challenges than men in obtaining services. An important note needs to be made that at the village level, in every research area, the challenges can be different. The problems of Ahmadiyya in one village do not necessarily have to be the same problems in the neighboring village. This asks for tail</w:t>
      </w:r>
      <w:r>
        <w:rPr>
          <w:color w:val="000000"/>
        </w:rPr>
        <w:t>ored approach at village level.</w:t>
      </w:r>
    </w:p>
    <w:p w14:paraId="666491C8" w14:textId="44F82D40" w:rsidR="00276959" w:rsidRPr="00276959" w:rsidRDefault="00276959" w:rsidP="00276959">
      <w:pPr>
        <w:rPr>
          <w:color w:val="000000"/>
          <w:lang w:val="en-AU"/>
        </w:rPr>
      </w:pPr>
      <w:r w:rsidRPr="00276959">
        <w:rPr>
          <w:color w:val="000000"/>
        </w:rPr>
        <w:lastRenderedPageBreak/>
        <w:t xml:space="preserve">Ahmadiyya are living in harmony with their neighbors and their direct surroundings. The level of interaction between Ahmadiyya and non-Ahmadiyya is high. More importantly, they feel accepted in the interactions, such as the community programs they attend. </w:t>
      </w:r>
      <w:r w:rsidRPr="00276959">
        <w:rPr>
          <w:color w:val="000000"/>
          <w:lang w:val="en-AU"/>
        </w:rPr>
        <w:t xml:space="preserve">Perpetrators of attacking Ahmadiyya worship places or Ahmadis themselves are most of the time not from the community itself, but from outside the community. </w:t>
      </w:r>
      <w:r w:rsidRPr="00276959">
        <w:rPr>
          <w:color w:val="000000"/>
        </w:rPr>
        <w:t>Hard</w:t>
      </w:r>
      <w:r w:rsidRPr="00276959">
        <w:rPr>
          <w:color w:val="000000"/>
          <w:lang w:val="en-AU"/>
        </w:rPr>
        <w:t>-line Muslim groups plan their attacks carefully and send people from outside the community to intimidate the Ahmadiyya. These groups feel strengthened by the Fatwa from the MUI.</w:t>
      </w:r>
      <w:r w:rsidR="00A01B29">
        <w:rPr>
          <w:color w:val="000000"/>
          <w:lang w:val="en-AU"/>
        </w:rPr>
        <w:t xml:space="preserve"> It is difficult for the Ahmadiyya to protect themselves against these planned attacks.</w:t>
      </w:r>
    </w:p>
    <w:p w14:paraId="3B398950" w14:textId="583185D0" w:rsidR="00276959" w:rsidRPr="00276959" w:rsidRDefault="00DB213D" w:rsidP="00276959">
      <w:pPr>
        <w:rPr>
          <w:color w:val="000000"/>
        </w:rPr>
      </w:pPr>
      <w:r>
        <w:rPr>
          <w:color w:val="000000"/>
          <w:lang w:val="en-AU"/>
        </w:rPr>
        <w:t>With</w:t>
      </w:r>
      <w:r w:rsidR="00276959" w:rsidRPr="00276959">
        <w:rPr>
          <w:color w:val="000000"/>
        </w:rPr>
        <w:t xml:space="preserve"> regard</w:t>
      </w:r>
      <w:r>
        <w:rPr>
          <w:color w:val="000000"/>
        </w:rPr>
        <w:t>s</w:t>
      </w:r>
      <w:r w:rsidR="00276959" w:rsidRPr="00276959">
        <w:rPr>
          <w:color w:val="000000"/>
        </w:rPr>
        <w:t xml:space="preserve"> to violence, in the past five years, a significant percentage of 35% of the Ahmadiyya respondents or their family members have experienced violence because of their belief. The data shows that you are most likely to have experienced violence if:</w:t>
      </w:r>
    </w:p>
    <w:p w14:paraId="29558BDE" w14:textId="77777777" w:rsidR="00276959" w:rsidRPr="00276959" w:rsidRDefault="00276959" w:rsidP="00276959">
      <w:pPr>
        <w:widowControl/>
        <w:numPr>
          <w:ilvl w:val="0"/>
          <w:numId w:val="33"/>
        </w:numPr>
        <w:autoSpaceDE/>
        <w:autoSpaceDN/>
        <w:adjustRightInd/>
        <w:spacing w:after="160" w:line="259" w:lineRule="auto"/>
        <w:contextualSpacing/>
        <w:jc w:val="left"/>
        <w:rPr>
          <w:color w:val="000000"/>
        </w:rPr>
      </w:pPr>
      <w:r w:rsidRPr="00276959">
        <w:rPr>
          <w:color w:val="000000"/>
        </w:rPr>
        <w:t xml:space="preserve">you are a female Ahmadiyya </w:t>
      </w:r>
    </w:p>
    <w:p w14:paraId="51E39A44" w14:textId="77777777" w:rsidR="00276959" w:rsidRPr="00276959" w:rsidRDefault="00276959" w:rsidP="00276959">
      <w:pPr>
        <w:widowControl/>
        <w:numPr>
          <w:ilvl w:val="0"/>
          <w:numId w:val="33"/>
        </w:numPr>
        <w:autoSpaceDE/>
        <w:autoSpaceDN/>
        <w:adjustRightInd/>
        <w:spacing w:after="160" w:line="259" w:lineRule="auto"/>
        <w:contextualSpacing/>
        <w:jc w:val="left"/>
        <w:rPr>
          <w:color w:val="000000"/>
        </w:rPr>
      </w:pPr>
      <w:r w:rsidRPr="00276959">
        <w:rPr>
          <w:color w:val="000000"/>
        </w:rPr>
        <w:t xml:space="preserve">you have a lower income below IDR 2,600,000 </w:t>
      </w:r>
    </w:p>
    <w:p w14:paraId="23A1FBA5" w14:textId="77777777" w:rsidR="00276959" w:rsidRPr="00276959" w:rsidRDefault="00276959" w:rsidP="00276959">
      <w:pPr>
        <w:widowControl/>
        <w:numPr>
          <w:ilvl w:val="0"/>
          <w:numId w:val="33"/>
        </w:numPr>
        <w:autoSpaceDE/>
        <w:autoSpaceDN/>
        <w:adjustRightInd/>
        <w:spacing w:after="160" w:line="259" w:lineRule="auto"/>
        <w:contextualSpacing/>
        <w:jc w:val="left"/>
        <w:rPr>
          <w:color w:val="000000"/>
        </w:rPr>
      </w:pPr>
      <w:r w:rsidRPr="00276959">
        <w:rPr>
          <w:color w:val="000000"/>
        </w:rPr>
        <w:t>you are in the age of 25 till 40 years old</w:t>
      </w:r>
    </w:p>
    <w:p w14:paraId="18D63A33" w14:textId="5B884F12" w:rsidR="00FE3C9F" w:rsidRDefault="00276959" w:rsidP="00FE3C9F">
      <w:pPr>
        <w:widowControl/>
        <w:numPr>
          <w:ilvl w:val="0"/>
          <w:numId w:val="33"/>
        </w:numPr>
        <w:autoSpaceDE/>
        <w:autoSpaceDN/>
        <w:adjustRightInd/>
        <w:spacing w:after="160" w:line="259" w:lineRule="auto"/>
        <w:contextualSpacing/>
        <w:jc w:val="left"/>
        <w:rPr>
          <w:color w:val="000000"/>
        </w:rPr>
      </w:pPr>
      <w:r w:rsidRPr="00276959">
        <w:rPr>
          <w:color w:val="000000"/>
        </w:rPr>
        <w:t>you live in Kuningan, Sukabumi or Tasikmalaya</w:t>
      </w:r>
    </w:p>
    <w:p w14:paraId="174E5389" w14:textId="77777777" w:rsidR="00FE3C9F" w:rsidRPr="00276959" w:rsidRDefault="00FE3C9F" w:rsidP="00FE3C9F">
      <w:pPr>
        <w:widowControl/>
        <w:autoSpaceDE/>
        <w:autoSpaceDN/>
        <w:adjustRightInd/>
        <w:spacing w:after="160" w:line="259" w:lineRule="auto"/>
        <w:contextualSpacing/>
        <w:jc w:val="left"/>
        <w:rPr>
          <w:color w:val="000000"/>
        </w:rPr>
      </w:pPr>
    </w:p>
    <w:p w14:paraId="5EDE7E52" w14:textId="77777777" w:rsidR="00276959" w:rsidRPr="00276959" w:rsidRDefault="00896426" w:rsidP="00276959">
      <w:pPr>
        <w:rPr>
          <w:color w:val="000000"/>
        </w:rPr>
      </w:pPr>
      <w:r w:rsidRPr="00FE3C9F">
        <w:t xml:space="preserve">The most </w:t>
      </w:r>
      <w:r w:rsidR="00276959" w:rsidRPr="00FE3C9F">
        <w:t>common</w:t>
      </w:r>
      <w:r w:rsidR="00276959" w:rsidRPr="00276959">
        <w:rPr>
          <w:color w:val="000000"/>
        </w:rPr>
        <w:t xml:space="preserve"> violent incidents that they have experienced are verbal abuse, intimidation or threats from a mass organization and discrimination by national or local governments. Members of Ahmadiyya felt that the situation has been improving in the past five years and they are positive that it will continue to develop. The majority of them, nonetheless, are still worried that their places of worship will be attacked. They consider FPI as the number one group that promotes intolerance against them, followed by the MUI.</w:t>
      </w:r>
    </w:p>
    <w:p w14:paraId="18A0FFE2" w14:textId="6DFCF490" w:rsidR="00276959" w:rsidRPr="00276959" w:rsidRDefault="00276959" w:rsidP="00276959">
      <w:pPr>
        <w:rPr>
          <w:color w:val="000000"/>
        </w:rPr>
      </w:pPr>
      <w:r w:rsidRPr="00276959">
        <w:rPr>
          <w:color w:val="000000"/>
        </w:rPr>
        <w:t>There is not an unambiguously answer for the Ahm</w:t>
      </w:r>
      <w:r w:rsidR="00DB213D">
        <w:rPr>
          <w:color w:val="000000"/>
        </w:rPr>
        <w:t>adiyya community in Indonesia in the way to</w:t>
      </w:r>
      <w:r w:rsidRPr="00276959">
        <w:rPr>
          <w:color w:val="000000"/>
        </w:rPr>
        <w:t xml:space="preserve"> feel more secure and protected. Several elements need to come together to create </w:t>
      </w:r>
      <w:r w:rsidR="00DB213D">
        <w:rPr>
          <w:color w:val="000000"/>
        </w:rPr>
        <w:t>a symbiosis, which has to lead to</w:t>
      </w:r>
      <w:r w:rsidRPr="00276959">
        <w:rPr>
          <w:color w:val="000000"/>
        </w:rPr>
        <w:t xml:space="preserve"> more optimal protection and security situation for the Ahmadis. This symbiosis derives from </w:t>
      </w:r>
      <w:r w:rsidR="00DB213D">
        <w:rPr>
          <w:color w:val="000000"/>
        </w:rPr>
        <w:t xml:space="preserve">getting </w:t>
      </w:r>
      <w:r w:rsidRPr="00276959">
        <w:rPr>
          <w:color w:val="000000"/>
        </w:rPr>
        <w:t>different stakeholders involved.</w:t>
      </w:r>
    </w:p>
    <w:p w14:paraId="738550BF" w14:textId="3A7C87B6" w:rsidR="00276959" w:rsidRPr="00276959" w:rsidRDefault="00276959" w:rsidP="00276959">
      <w:pPr>
        <w:rPr>
          <w:color w:val="000000"/>
        </w:rPr>
      </w:pPr>
      <w:r w:rsidRPr="00276959">
        <w:rPr>
          <w:color w:val="000000"/>
        </w:rPr>
        <w:t xml:space="preserve">From </w:t>
      </w:r>
      <w:r w:rsidRPr="00276959">
        <w:rPr>
          <w:b/>
          <w:color w:val="000000"/>
        </w:rPr>
        <w:t>the government</w:t>
      </w:r>
      <w:r w:rsidRPr="00276959">
        <w:rPr>
          <w:color w:val="000000"/>
        </w:rPr>
        <w:t>, it is expected not to get an adequate protection, both nationally as locally. But every citizen has the right to receive equal treatment, including protection from the government. However, the national and local government are in a split. On the one hand, they seem to be controlled by Hard-line Muslims by issuing decrees that compromise religious freedom. On the other hand, liberal Islamic grou</w:t>
      </w:r>
      <w:r w:rsidR="00DB213D">
        <w:rPr>
          <w:color w:val="000000"/>
        </w:rPr>
        <w:t xml:space="preserve">ps and NGOs are promoting </w:t>
      </w:r>
      <w:r w:rsidRPr="00276959">
        <w:rPr>
          <w:color w:val="000000"/>
        </w:rPr>
        <w:t>liberal-inclusive approach</w:t>
      </w:r>
      <w:r w:rsidR="00DB213D">
        <w:rPr>
          <w:color w:val="000000"/>
        </w:rPr>
        <w:t>es</w:t>
      </w:r>
      <w:r w:rsidRPr="00276959">
        <w:rPr>
          <w:color w:val="000000"/>
        </w:rPr>
        <w:t xml:space="preserve"> to Islam in society. This situation has put the government in a dilemma to find an appropriate way to deal with this matter. The government seems to look for a balance between the demand of Hard-line Muslim groups that urge to ban the Ahmadiyya and those who call for the protection of the rights of Ahmadiyya belief. The case in </w:t>
      </w:r>
      <w:proofErr w:type="spellStart"/>
      <w:r w:rsidRPr="00276959">
        <w:rPr>
          <w:color w:val="000000"/>
        </w:rPr>
        <w:t>Manislor</w:t>
      </w:r>
      <w:proofErr w:type="spellEnd"/>
      <w:r w:rsidRPr="00276959">
        <w:rPr>
          <w:color w:val="000000"/>
        </w:rPr>
        <w:t xml:space="preserve"> proves the government’s ineffectiveness in supporting the needs of the Ahmadiyya. Only a small number of Ahmadis have been able to obtain an ID, the others are still waiting for the government to make a decision that support their rights as a citizen of Indonesia.</w:t>
      </w:r>
    </w:p>
    <w:p w14:paraId="5C77B2CF" w14:textId="3CFCA490" w:rsidR="00276959" w:rsidRPr="00276959" w:rsidRDefault="00276959" w:rsidP="00276959">
      <w:pPr>
        <w:rPr>
          <w:color w:val="000000"/>
        </w:rPr>
      </w:pPr>
      <w:r w:rsidRPr="00276959">
        <w:rPr>
          <w:color w:val="000000"/>
        </w:rPr>
        <w:lastRenderedPageBreak/>
        <w:t xml:space="preserve">Although the majority of Ahmadis believe the government is </w:t>
      </w:r>
      <w:r w:rsidR="00DB213D">
        <w:rPr>
          <w:color w:val="000000"/>
        </w:rPr>
        <w:t>not playing a neutral role,</w:t>
      </w:r>
      <w:r w:rsidRPr="00276959">
        <w:rPr>
          <w:color w:val="000000"/>
        </w:rPr>
        <w:t xml:space="preserve"> the </w:t>
      </w:r>
      <w:r w:rsidR="00DB213D">
        <w:rPr>
          <w:color w:val="000000"/>
        </w:rPr>
        <w:t xml:space="preserve">same </w:t>
      </w:r>
      <w:r w:rsidRPr="00276959">
        <w:rPr>
          <w:color w:val="000000"/>
        </w:rPr>
        <w:t xml:space="preserve">majority believe it is still the government who should continuously implement its commitment to protect and fulfill the enjoyment of human rights of the Ahmadiyya, in line with the Indonesian Constitution and international human rights treaties. </w:t>
      </w:r>
    </w:p>
    <w:p w14:paraId="7713A01D" w14:textId="77777777" w:rsidR="00276959" w:rsidRPr="00276959" w:rsidRDefault="00276959" w:rsidP="00276959">
      <w:pPr>
        <w:rPr>
          <w:color w:val="000000"/>
        </w:rPr>
      </w:pPr>
      <w:r w:rsidRPr="00276959">
        <w:rPr>
          <w:b/>
          <w:color w:val="000000"/>
        </w:rPr>
        <w:t>The police and other law enforcement agencies</w:t>
      </w:r>
      <w:r w:rsidRPr="00276959">
        <w:rPr>
          <w:color w:val="000000"/>
        </w:rPr>
        <w:t xml:space="preserve"> are dealing with the same issues as the government. They want to maintain social order, but also find themselves often in a dilemma of how to protect the Ahmadiyya. According to the Ahmadiyya, they are taking the wrong approach. Instead of arresting and punishing the perpetrators, it are the Ahmadiyya who get limited in their freedom by, for instance, shutting down the worship building. By using this approach, the Ahmadiyya community get the feeling the police is not impartial.</w:t>
      </w:r>
    </w:p>
    <w:p w14:paraId="46F26E79" w14:textId="77777777" w:rsidR="00276959" w:rsidRPr="00276959" w:rsidRDefault="00276959" w:rsidP="00276959">
      <w:pPr>
        <w:rPr>
          <w:color w:val="000000"/>
        </w:rPr>
      </w:pPr>
      <w:r w:rsidRPr="00276959">
        <w:rPr>
          <w:b/>
          <w:color w:val="000000"/>
        </w:rPr>
        <w:t>The Ahmadis</w:t>
      </w:r>
      <w:r w:rsidRPr="00276959">
        <w:rPr>
          <w:color w:val="000000"/>
        </w:rPr>
        <w:t xml:space="preserve"> have their own mechanism of protecting themselves against violence and discrimination. T</w:t>
      </w:r>
      <w:r w:rsidRPr="00276959">
        <w:rPr>
          <w:color w:val="000000"/>
          <w:lang w:val="en-AU"/>
        </w:rPr>
        <w:t>he Ahmadiyya attach importance to living in harmony and playing a positive role in society. Visiting the police, local leaders, universities, religious leaders, Islamic boarding schools and many other individuals and institution and even Hard-line Muslim groups is part of their long-term strategy to build trust in their community and wider surroundings and to get protection. However, social acceptance</w:t>
      </w:r>
      <w:r w:rsidRPr="00276959">
        <w:rPr>
          <w:color w:val="000000"/>
        </w:rPr>
        <w:t xml:space="preserve"> depends partly on the political situation nationally and locally and the political interests of the new elected leaders. It is the wish of many in the research, to have more Ahmadiyya in higher positions in the government.</w:t>
      </w:r>
    </w:p>
    <w:p w14:paraId="5D84EE33" w14:textId="77777777" w:rsidR="00276959" w:rsidRPr="00276959" w:rsidRDefault="00276959" w:rsidP="00276959">
      <w:pPr>
        <w:rPr>
          <w:color w:val="000000"/>
        </w:rPr>
      </w:pPr>
      <w:r w:rsidRPr="00276959">
        <w:rPr>
          <w:color w:val="000000"/>
        </w:rPr>
        <w:t xml:space="preserve">Reporting incidents of discrimination, violence or exclusion is another method to create security. Nevertheless, most members of Ahmadiyya do not report incidents as they prefer to avoid to attract further attention or they have difficulties to get legal assistance. The knowledge of the procedure of filing and managing a case is limited and therefore the Ahmadiyya would like the support from paralegals or get a training themselves. </w:t>
      </w:r>
    </w:p>
    <w:p w14:paraId="4FB2F6FD" w14:textId="7A287279" w:rsidR="00276959" w:rsidRPr="00276959" w:rsidRDefault="00276959" w:rsidP="00276959">
      <w:pPr>
        <w:rPr>
          <w:color w:val="000000"/>
        </w:rPr>
      </w:pPr>
      <w:r w:rsidRPr="00276959">
        <w:rPr>
          <w:color w:val="000000"/>
        </w:rPr>
        <w:t xml:space="preserve">A distinction need to be made between individual reporting or reporting as a group. </w:t>
      </w:r>
      <w:r w:rsidR="00DB213D">
        <w:rPr>
          <w:color w:val="000000"/>
        </w:rPr>
        <w:t>When a worship building is</w:t>
      </w:r>
      <w:r w:rsidRPr="00276959">
        <w:rPr>
          <w:color w:val="000000"/>
        </w:rPr>
        <w:t xml:space="preserve"> attacked, the reporting is done by the</w:t>
      </w:r>
      <w:r w:rsidR="00DB213D">
        <w:rPr>
          <w:color w:val="000000"/>
        </w:rPr>
        <w:t xml:space="preserve"> leaders in that place or the headquarters</w:t>
      </w:r>
      <w:r w:rsidRPr="00276959">
        <w:rPr>
          <w:color w:val="000000"/>
        </w:rPr>
        <w:t xml:space="preserve"> in Bogor. The Ahmadiyya have a very organized and hierarchical structure, using a Caliphate system. Ahmadis are allowed to do individual reporting, but members often receive instructions from their Ahmadiyya leaders. Reporting a single case could sometimes not have the same impact as reporting several at the same time. The procedures in handling incidents could therefore be managed by the JAI branch. They will also decide to seek media attention or not, or to ask for support from other institutes, such as NGOs</w:t>
      </w:r>
    </w:p>
    <w:p w14:paraId="1FBA274C" w14:textId="3F6E7E5D" w:rsidR="00276959" w:rsidRDefault="00276959" w:rsidP="00276959">
      <w:pPr>
        <w:rPr>
          <w:color w:val="000000"/>
        </w:rPr>
      </w:pPr>
      <w:r w:rsidRPr="00276959">
        <w:rPr>
          <w:b/>
          <w:color w:val="000000"/>
        </w:rPr>
        <w:t>NGOs</w:t>
      </w:r>
      <w:r w:rsidRPr="00276959">
        <w:rPr>
          <w:color w:val="000000"/>
        </w:rPr>
        <w:t xml:space="preserve"> are positioning themselves between the Ahmadiyya community and the government, law enforcement agencies and opposing groups. They are in the middle, and able to build a bridge between all the groups involved. A better collaboration between NGOs is needed to optimize the work in advocacy, legal assistance and promoting social inclusion. As an outside group, they are well to in place to monitor the situation of freedom of religion and holding the government accountable in serving the rights of Ahmadiyya and protecting them physically.</w:t>
      </w:r>
    </w:p>
    <w:p w14:paraId="5AEF8EAD" w14:textId="4CC43FE9" w:rsidR="00687503" w:rsidRPr="00687503" w:rsidRDefault="00687503" w:rsidP="00687503">
      <w:pPr>
        <w:rPr>
          <w:color w:val="000000"/>
        </w:rPr>
      </w:pPr>
      <w:r w:rsidRPr="00687503">
        <w:rPr>
          <w:color w:val="000000"/>
        </w:rPr>
        <w:lastRenderedPageBreak/>
        <w:t>The following section provides recommendations for NGOs, the Ahmadiyya community, local and national government and law enforcement agencies. The recommendations are meant to be used to increase the protection and security of the Ahmadiyya in Indonesia.</w:t>
      </w:r>
      <w:r>
        <w:rPr>
          <w:color w:val="000000"/>
        </w:rPr>
        <w:t xml:space="preserve"> </w:t>
      </w:r>
    </w:p>
    <w:p w14:paraId="54469533" w14:textId="677DC829" w:rsidR="005A37E2" w:rsidRDefault="00276959" w:rsidP="005A37E2">
      <w:pPr>
        <w:pStyle w:val="Heading4"/>
      </w:pPr>
      <w:r w:rsidRPr="00276959">
        <w:t xml:space="preserve">Recommendation 1: </w:t>
      </w:r>
      <w:r w:rsidR="005A33EB">
        <w:t>Monitor for discriminatory local regulations and national laws</w:t>
      </w:r>
    </w:p>
    <w:p w14:paraId="3D93D075" w14:textId="6CDA3E01" w:rsidR="009963C5" w:rsidRDefault="009963C5" w:rsidP="009963C5">
      <w:pPr>
        <w:rPr>
          <w:lang w:val="en-GB"/>
        </w:rPr>
      </w:pPr>
      <w:r w:rsidRPr="009963C5">
        <w:rPr>
          <w:lang w:val="en-GB"/>
        </w:rPr>
        <w:t>In order to ensure the protection of Ahmadis and other religious minorities, NGOs and the central government should critically monitor new or revised local regulations for discriminatory or intolerant clauses. The implementation of existing laws and regulations that do offer protection of the rights of religious groups should also be monitored. At the local level, NGOs and more liberal Islamic groups should continue to perform a watchdog role, reporting and exposing cases of local regulations being discriminatory.</w:t>
      </w:r>
      <w:r>
        <w:rPr>
          <w:lang w:val="en-GB"/>
        </w:rPr>
        <w:t xml:space="preserve"> </w:t>
      </w:r>
    </w:p>
    <w:p w14:paraId="6DE6D8B7" w14:textId="6FE0D2E6" w:rsidR="009963C5" w:rsidRDefault="009963C5" w:rsidP="009963C5">
      <w:pPr>
        <w:rPr>
          <w:b/>
          <w:bCs/>
          <w:lang w:val="en-GB"/>
        </w:rPr>
      </w:pPr>
      <w:r>
        <w:t>National networks and local NGOs should continue the dialogue with the Government of Indonesia about national laws that discriminate against religious minorities. Pressure through lobby and advocacy should be applied by NGO</w:t>
      </w:r>
      <w:r w:rsidR="005A33EB">
        <w:t>s, but advic</w:t>
      </w:r>
      <w:r>
        <w:t>e and assistance to (re)draft laws and implementing regulations should also be offered to Ministries and parliamentarians willing to revisit legislation.</w:t>
      </w:r>
    </w:p>
    <w:p w14:paraId="1828B0DD" w14:textId="48D0D612" w:rsidR="00687503" w:rsidRDefault="00687503" w:rsidP="00687503">
      <w:pPr>
        <w:pStyle w:val="Heading4"/>
        <w:rPr>
          <w:color w:val="000000"/>
        </w:rPr>
      </w:pPr>
      <w:r>
        <w:rPr>
          <w:lang w:val="en-GB"/>
        </w:rPr>
        <w:t>R</w:t>
      </w:r>
      <w:r w:rsidR="005A33EB">
        <w:rPr>
          <w:lang w:val="en-GB"/>
        </w:rPr>
        <w:t>ecommendation 2</w:t>
      </w:r>
      <w:r>
        <w:rPr>
          <w:lang w:val="en-GB"/>
        </w:rPr>
        <w:t xml:space="preserve">: Create an impartial state apparatus </w:t>
      </w:r>
    </w:p>
    <w:p w14:paraId="6D5C5DE7" w14:textId="6C9EC569" w:rsidR="00276959" w:rsidRDefault="00687503" w:rsidP="009963C5">
      <w:pPr>
        <w:rPr>
          <w:lang w:val="en-GB"/>
        </w:rPr>
      </w:pPr>
      <w:r>
        <w:t xml:space="preserve">The </w:t>
      </w:r>
      <w:r w:rsidR="009963C5">
        <w:t xml:space="preserve">national government should, with support from NGOs, </w:t>
      </w:r>
      <w:r>
        <w:rPr>
          <w:lang w:val="en-GB"/>
        </w:rPr>
        <w:t>m</w:t>
      </w:r>
      <w:r w:rsidR="00276959" w:rsidRPr="00276959">
        <w:rPr>
          <w:lang w:val="en-GB"/>
        </w:rPr>
        <w:t>onitor civil servants at government bodies involved working with Ahmadis and evaluate those who practice or encourage acts of discrimination, threats, or physical violence against the Ahmadiyya.</w:t>
      </w:r>
      <w:r w:rsidR="009963C5">
        <w:rPr>
          <w:lang w:val="en-GB"/>
        </w:rPr>
        <w:t xml:space="preserve"> </w:t>
      </w:r>
    </w:p>
    <w:p w14:paraId="5F5132DB" w14:textId="0AF337A2" w:rsidR="005A37E2" w:rsidRPr="005A37E2" w:rsidRDefault="00D655FF" w:rsidP="005A37E2">
      <w:pPr>
        <w:pStyle w:val="Heading4"/>
        <w:rPr>
          <w:rFonts w:eastAsia="Times New Roman"/>
        </w:rPr>
      </w:pPr>
      <w:r>
        <w:t>Recommendation 3</w:t>
      </w:r>
      <w:r w:rsidR="005A33EB">
        <w:t>: Demonstrate greater commitment to promoting tolerance by monitoring</w:t>
      </w:r>
      <w:r w:rsidR="005A33EB" w:rsidRPr="00276959">
        <w:t xml:space="preserve"> </w:t>
      </w:r>
      <w:r w:rsidR="005A33EB">
        <w:t>the messaging and activities of MUI and hard-line groups</w:t>
      </w:r>
    </w:p>
    <w:p w14:paraId="519A80D0" w14:textId="77777777" w:rsidR="005A33EB" w:rsidRPr="005A33EB" w:rsidRDefault="005A33EB" w:rsidP="005A33EB">
      <w:pPr>
        <w:rPr>
          <w:rFonts w:cs="Arial"/>
          <w:b/>
          <w:bCs/>
          <w:color w:val="000000"/>
        </w:rPr>
      </w:pPr>
      <w:r w:rsidRPr="005A33EB">
        <w:rPr>
          <w:rFonts w:eastAsia="MS Gothic"/>
        </w:rPr>
        <w:t xml:space="preserve">The government, NGOs and public institutions continue to play a critical role in monitoring the activities and messaging of MUI, at to what extent these serve the nation’s interest. </w:t>
      </w:r>
      <w:r w:rsidRPr="005A33EB">
        <w:rPr>
          <w:rFonts w:eastAsia="Calibri" w:cs="Open Sans"/>
          <w:color w:val="auto"/>
          <w:szCs w:val="22"/>
        </w:rPr>
        <w:t xml:space="preserve">Although it is difficult to continuously monitor hard-line groups, an effort should be made in countering the intolerant messages from these groups. MUI has enormous influence and great power in Indonesia. Their Fatwas and recommendations should be monitored and critically evaluated on the extent to which they oppose the rights of religious minorities generally, and those of the Ahmadiyya specifically. </w:t>
      </w:r>
      <w:r w:rsidRPr="005A33EB">
        <w:rPr>
          <w:rFonts w:eastAsia="MS Gothic"/>
        </w:rPr>
        <w:t xml:space="preserve">These efforts will help prevent the escalation of events and incidents. </w:t>
      </w:r>
    </w:p>
    <w:p w14:paraId="0CD41FDF" w14:textId="49C65E57" w:rsidR="00276959" w:rsidRPr="00276959" w:rsidRDefault="00D81D0B" w:rsidP="00C37270">
      <w:pPr>
        <w:pStyle w:val="Heading4"/>
      </w:pPr>
      <w:r>
        <w:t>Recommendation 4: Develop new strategies to</w:t>
      </w:r>
      <w:r w:rsidR="00777352">
        <w:t xml:space="preserve"> advocate tolerance and the rights of Ahmadiyya</w:t>
      </w:r>
    </w:p>
    <w:p w14:paraId="3AC21DBB" w14:textId="77777777" w:rsidR="005A33EB" w:rsidRPr="005A33EB" w:rsidRDefault="005A33EB" w:rsidP="005A33EB">
      <w:pPr>
        <w:rPr>
          <w:color w:val="000000"/>
        </w:rPr>
      </w:pPr>
      <w:r w:rsidRPr="005A33EB">
        <w:t xml:space="preserve">The research informs that Ahmadiyya interact with non-Ahmadiyya at their work and their homes, but also in social settings. NGOs promoting harmony and inter-group relations should develop strategies that promote harmony in the work place or in other safe public places. Discussions between different groups should start in those spaces rather than being confrontational. Dialogues in small groups between Ahmadiyya and non-Ahmadiyya that are </w:t>
      </w:r>
      <w:r w:rsidRPr="005A33EB">
        <w:lastRenderedPageBreak/>
        <w:t>small and intimate could lead to better understanding of each other.</w:t>
      </w:r>
    </w:p>
    <w:p w14:paraId="43FB719D" w14:textId="77777777" w:rsidR="005A33EB" w:rsidRPr="005A33EB" w:rsidRDefault="005A33EB" w:rsidP="005A33EB">
      <w:pPr>
        <w:rPr>
          <w:color w:val="000000"/>
        </w:rPr>
      </w:pPr>
      <w:r w:rsidRPr="005A33EB">
        <w:rPr>
          <w:color w:val="000000"/>
        </w:rPr>
        <w:t xml:space="preserve">Collaboration between NGOs should be coordinated to improve the sustainability of the implemented projects and to prevent Ahmadis from becoming isolated in their community. The character of these events should be transparent and open, by inviting other community members, such as students from Islamic Boarding Schools or Islamic Universities. </w:t>
      </w:r>
    </w:p>
    <w:p w14:paraId="20427658" w14:textId="77777777" w:rsidR="005A33EB" w:rsidRPr="005A33EB" w:rsidRDefault="005A33EB" w:rsidP="005A33EB">
      <w:pPr>
        <w:rPr>
          <w:color w:val="000000"/>
        </w:rPr>
      </w:pPr>
      <w:r w:rsidRPr="005A33EB">
        <w:rPr>
          <w:color w:val="000000"/>
        </w:rPr>
        <w:t xml:space="preserve">As the findings of this study have indicated, Ahmadis sometimes have difficulty organizing their own events because they are not granted permission by local government leaders. Support may be needed from others within the community or external parties, such as inter-religious networks or paralegals, to allow them to practice freedom of opinion and expression. </w:t>
      </w:r>
    </w:p>
    <w:p w14:paraId="0BC31197" w14:textId="1F2D6783" w:rsidR="00276959" w:rsidRPr="00276959" w:rsidRDefault="005A33EB" w:rsidP="00276959">
      <w:pPr>
        <w:rPr>
          <w:color w:val="000000"/>
        </w:rPr>
      </w:pPr>
      <w:r w:rsidRPr="005A33EB">
        <w:rPr>
          <w:color w:val="000000"/>
        </w:rPr>
        <w:t>While many NGOs continue to play an important role in supporting the Ahmadiyya obtaining full and equal access to public services, alternative lobby and advocacy efforts may be required. If sending a letter or a petition does not have the desired effect, other routes should be explored. A specific recommendation for the ID Card issue in Kuningan is to visit the Ministry of Home Affairs to demand for concrete action.</w:t>
      </w:r>
    </w:p>
    <w:p w14:paraId="55867F02" w14:textId="56E02171" w:rsidR="00276959" w:rsidRPr="00276959" w:rsidRDefault="00643DC0" w:rsidP="00C37270">
      <w:pPr>
        <w:pStyle w:val="Heading4"/>
      </w:pPr>
      <w:r>
        <w:t>Recommendation 5</w:t>
      </w:r>
      <w:r w:rsidR="00276959" w:rsidRPr="00276959">
        <w:t>: Modify t</w:t>
      </w:r>
      <w:r w:rsidR="005219C3">
        <w:t>he approach of law enforcement</w:t>
      </w:r>
    </w:p>
    <w:p w14:paraId="6884AC85" w14:textId="77777777" w:rsidR="007A3E9F" w:rsidRPr="007A3E9F" w:rsidRDefault="007A3E9F" w:rsidP="007A3E9F">
      <w:pPr>
        <w:rPr>
          <w:color w:val="000000"/>
        </w:rPr>
      </w:pPr>
      <w:r w:rsidRPr="007A3E9F">
        <w:t>The government should change the focus of the law enforcement from limiting the freedom of the Ahmadiyya community to the persecution of the perpetrators after an incident has occurred.</w:t>
      </w:r>
      <w:r w:rsidRPr="007A3E9F">
        <w:rPr>
          <w:color w:val="000000"/>
        </w:rPr>
        <w:t xml:space="preserve"> This can be an effective means of deterring intimidation and attacks. Aside from ensuring adequate police protection, the police should conduct impartial investigations. Judges and prosecutors need to be better informed of the laws that provide protection, so that they are better adept at understanding and applying these laws consistently. </w:t>
      </w:r>
    </w:p>
    <w:p w14:paraId="3DF8684E" w14:textId="2AED328E" w:rsidR="00643DC0" w:rsidRPr="00276959" w:rsidRDefault="00643DC0" w:rsidP="00643DC0">
      <w:pPr>
        <w:pStyle w:val="Heading4"/>
      </w:pPr>
      <w:r>
        <w:t>Recommendation 6: Promote local leadership and entry into the political sphere</w:t>
      </w:r>
    </w:p>
    <w:p w14:paraId="3001C43B" w14:textId="77777777" w:rsidR="007A3E9F" w:rsidRPr="007A3E9F" w:rsidRDefault="007A3E9F" w:rsidP="007A3E9F">
      <w:pPr>
        <w:rPr>
          <w:color w:val="000000"/>
        </w:rPr>
      </w:pPr>
      <w:r w:rsidRPr="007A3E9F">
        <w:rPr>
          <w:color w:val="000000"/>
        </w:rPr>
        <w:t xml:space="preserve">The Ahmadiyya and other religious minority groups should be represented in the government and law enforcement agencies. </w:t>
      </w:r>
      <w:r w:rsidRPr="007A3E9F">
        <w:t xml:space="preserve">The Ahmadiyya headquarters should support champions in obtaining positions where they can be decision-makers. This should not be done in a silo. Intergroup and interreligious coalitions should be sought to be established. </w:t>
      </w:r>
    </w:p>
    <w:p w14:paraId="10D303A8" w14:textId="57D356E1" w:rsidR="00276959" w:rsidRPr="00276959" w:rsidRDefault="00643DC0" w:rsidP="00C37270">
      <w:pPr>
        <w:pStyle w:val="Heading4"/>
      </w:pPr>
      <w:r>
        <w:t>Recommendation 7</w:t>
      </w:r>
      <w:r w:rsidR="007A3E9F">
        <w:t>: Organize</w:t>
      </w:r>
      <w:r w:rsidR="00276959" w:rsidRPr="00276959">
        <w:t xml:space="preserve"> training</w:t>
      </w:r>
      <w:r w:rsidR="007A3E9F">
        <w:t>s</w:t>
      </w:r>
      <w:r w:rsidR="00276959" w:rsidRPr="00276959">
        <w:t xml:space="preserve"> for Ahmadis and paraleg</w:t>
      </w:r>
      <w:r w:rsidR="005219C3">
        <w:t>als to record individual cases</w:t>
      </w:r>
    </w:p>
    <w:p w14:paraId="0C6C07F0" w14:textId="54ECED9A" w:rsidR="00643DC0" w:rsidRPr="00643DC0" w:rsidRDefault="007A3E9F" w:rsidP="00276959">
      <w:pPr>
        <w:rPr>
          <w:color w:val="000000"/>
        </w:rPr>
      </w:pPr>
      <w:r>
        <w:t xml:space="preserve">NGOs should organize </w:t>
      </w:r>
      <w:r w:rsidR="00276959" w:rsidRPr="00276959">
        <w:t>training</w:t>
      </w:r>
      <w:r>
        <w:t>s</w:t>
      </w:r>
      <w:r w:rsidR="00276959" w:rsidRPr="00276959">
        <w:t xml:space="preserve"> for Ahmadiyya members and paralegals in order to enhance the knowledge on the legal procedures involved in filing a case.</w:t>
      </w:r>
      <w:r w:rsidR="00643DC0">
        <w:t xml:space="preserve"> </w:t>
      </w:r>
      <w:r w:rsidR="00643DC0" w:rsidRPr="00643DC0">
        <w:rPr>
          <w:color w:val="000000"/>
        </w:rPr>
        <w:t>The study shows that Ahmadiyya have trust and faith in the role of paralegals. JAI expertise and services are not always present in the vill</w:t>
      </w:r>
      <w:r w:rsidR="00643DC0">
        <w:rPr>
          <w:color w:val="000000"/>
        </w:rPr>
        <w:t xml:space="preserve">ages. In these cases, local Ahmadiyya </w:t>
      </w:r>
      <w:r w:rsidR="00643DC0" w:rsidRPr="00643DC0">
        <w:rPr>
          <w:color w:val="000000"/>
        </w:rPr>
        <w:t xml:space="preserve">communities would benefit from the presence of trained </w:t>
      </w:r>
      <w:r w:rsidR="00643DC0">
        <w:rPr>
          <w:color w:val="000000"/>
        </w:rPr>
        <w:t>local paralegals to advise them. Ahmadis that want to represent themselves in filing a case should also get a basic training to manage a report</w:t>
      </w:r>
      <w:r w:rsidR="00C37270">
        <w:rPr>
          <w:color w:val="000000"/>
        </w:rPr>
        <w:t>.</w:t>
      </w:r>
      <w:r w:rsidR="00B55FD3">
        <w:rPr>
          <w:color w:val="000000"/>
        </w:rPr>
        <w:t xml:space="preserve"> Especially those Ahmadis that face more discrimination and violence than other Ahmadis, should be </w:t>
      </w:r>
      <w:r w:rsidR="00B55FD3">
        <w:rPr>
          <w:color w:val="000000"/>
        </w:rPr>
        <w:lastRenderedPageBreak/>
        <w:t>represented in the training.</w:t>
      </w:r>
    </w:p>
    <w:p w14:paraId="107C13C4" w14:textId="00202266" w:rsidR="00276959" w:rsidRDefault="00C37270" w:rsidP="00C37270">
      <w:pPr>
        <w:pStyle w:val="Heading4"/>
      </w:pPr>
      <w:r>
        <w:t>Recommendation 8</w:t>
      </w:r>
      <w:r w:rsidR="00276959" w:rsidRPr="00276959">
        <w:t xml:space="preserve">: </w:t>
      </w:r>
      <w:r w:rsidR="00276959">
        <w:t>Maintain</w:t>
      </w:r>
      <w:r w:rsidR="005219C3">
        <w:t xml:space="preserve"> the </w:t>
      </w:r>
      <w:proofErr w:type="spellStart"/>
      <w:r w:rsidR="005219C3">
        <w:t>Rabtah</w:t>
      </w:r>
      <w:proofErr w:type="spellEnd"/>
    </w:p>
    <w:p w14:paraId="0BD5C831" w14:textId="77777777" w:rsidR="007A3E9F" w:rsidRPr="007A3E9F" w:rsidRDefault="007A3E9F" w:rsidP="007A3E9F">
      <w:r w:rsidRPr="007A3E9F">
        <w:t xml:space="preserve">The Ahmadiyya community and NGOs should continue and augment the </w:t>
      </w:r>
      <w:proofErr w:type="spellStart"/>
      <w:r w:rsidRPr="007A3E9F">
        <w:t>Rabtah</w:t>
      </w:r>
      <w:proofErr w:type="spellEnd"/>
      <w:r w:rsidRPr="007A3E9F">
        <w:t xml:space="preserve"> and awareness of what it means in the residential areas of the Ahmadiyya communities.</w:t>
      </w:r>
    </w:p>
    <w:p w14:paraId="236DBB85" w14:textId="77777777" w:rsidR="007A3E9F" w:rsidRPr="007A3E9F" w:rsidRDefault="007A3E9F" w:rsidP="007A3E9F">
      <w:r w:rsidRPr="007A3E9F">
        <w:t xml:space="preserve">Ahmadiyya members should continue to visit the institutions and individuals in the community who are able to contribute to the protection and security of Ahmadis. In times of tensions the </w:t>
      </w:r>
      <w:proofErr w:type="spellStart"/>
      <w:r w:rsidRPr="007A3E9F">
        <w:t>Rabtah</w:t>
      </w:r>
      <w:proofErr w:type="spellEnd"/>
      <w:r w:rsidRPr="007A3E9F">
        <w:t xml:space="preserve"> should be augmented, but also in good times. The Ahmadiyya communities themselves play an important role in promoting dialogue and better understanding of their religious principles among non-Ahmadiyya. Care should be taken for such actions not to be interpreted as proselytization. </w:t>
      </w:r>
    </w:p>
    <w:p w14:paraId="715F3070" w14:textId="1B6CA29B" w:rsidR="00276959" w:rsidRDefault="00C37270" w:rsidP="00C37270">
      <w:pPr>
        <w:pStyle w:val="Heading4"/>
      </w:pPr>
      <w:r>
        <w:t>Recommendation 9</w:t>
      </w:r>
      <w:r w:rsidR="00276959" w:rsidRPr="00276959">
        <w:t xml:space="preserve">: </w:t>
      </w:r>
      <w:r w:rsidR="00FE3C9F">
        <w:t>Campaigning tolerance and pluralism in society</w:t>
      </w:r>
    </w:p>
    <w:p w14:paraId="545ED9CF" w14:textId="77777777" w:rsidR="007A3E9F" w:rsidRPr="007A3E9F" w:rsidRDefault="007A3E9F" w:rsidP="007A3E9F">
      <w:r w:rsidRPr="007A3E9F">
        <w:t>NGOs should implement activities that aim to spread tolerance and pluralistic messaging, targeting specific groups that show signs of intolerance. The main objective is to understand and respect each other’s religion and beliefs.</w:t>
      </w:r>
    </w:p>
    <w:p w14:paraId="55D6AB7F" w14:textId="77777777" w:rsidR="007A3E9F" w:rsidRPr="007A3E9F" w:rsidRDefault="007A3E9F" w:rsidP="007A3E9F">
      <w:r w:rsidRPr="007A3E9F">
        <w:t>The study shows that, Ahmadis, especially those with a lower income and education, youth and females are facing violence and discrimination. This should be addressed in the planned campaigns.</w:t>
      </w:r>
    </w:p>
    <w:p w14:paraId="5763F462" w14:textId="60C1BCB5" w:rsidR="00C37270" w:rsidRDefault="00C37270" w:rsidP="00C37270">
      <w:pPr>
        <w:pStyle w:val="Heading4"/>
      </w:pPr>
      <w:r>
        <w:t>Recommendation 10: Develop more research to have a deeper understanding of the root causes of intolerance</w:t>
      </w:r>
    </w:p>
    <w:p w14:paraId="624E761E" w14:textId="334A9CFC" w:rsidR="00B55FD3" w:rsidRDefault="00B55FD3" w:rsidP="00C37270">
      <w:r>
        <w:t xml:space="preserve">Institutes like </w:t>
      </w:r>
      <w:proofErr w:type="spellStart"/>
      <w:r>
        <w:t>S</w:t>
      </w:r>
      <w:r w:rsidR="00151D18">
        <w:t>etara</w:t>
      </w:r>
      <w:proofErr w:type="spellEnd"/>
      <w:r w:rsidR="00151D18">
        <w:t xml:space="preserve"> and </w:t>
      </w:r>
      <w:proofErr w:type="spellStart"/>
      <w:r w:rsidR="00151D18">
        <w:t>Fahmina</w:t>
      </w:r>
      <w:proofErr w:type="spellEnd"/>
      <w:r w:rsidR="00151D18">
        <w:t xml:space="preserve"> are encouraged</w:t>
      </w:r>
      <w:r>
        <w:t xml:space="preserve"> to develop more quantitative research on the experience and the prevalence of discrimination, exclusion and violence against Ahmadiyya specific and religious minorities in general. </w:t>
      </w:r>
    </w:p>
    <w:p w14:paraId="037145AC" w14:textId="2D8DB7CF" w:rsidR="00C37270" w:rsidRPr="00C37270" w:rsidRDefault="00B55FD3" w:rsidP="00C37270">
      <w:r>
        <w:t>A special focus</w:t>
      </w:r>
      <w:r w:rsidR="00151D18">
        <w:t xml:space="preserve"> should be on the </w:t>
      </w:r>
      <w:r>
        <w:t>experiences with discrimination among fema</w:t>
      </w:r>
      <w:r w:rsidR="00151D18">
        <w:t xml:space="preserve">le Ahmadis and why they </w:t>
      </w:r>
      <w:r w:rsidR="00151D18" w:rsidRPr="00151D18">
        <w:t>are facing more verbally expressed hatred and discrimination perpetrated by the government.</w:t>
      </w:r>
    </w:p>
    <w:p w14:paraId="1ADCF7D8" w14:textId="77777777" w:rsidR="00E35D62" w:rsidRPr="00E35D62" w:rsidRDefault="00E35D62" w:rsidP="00E35D62"/>
    <w:p w14:paraId="473322DA" w14:textId="77777777" w:rsidR="005E5D21" w:rsidRDefault="005E5D21" w:rsidP="00453EA8">
      <w:pPr>
        <w:rPr>
          <w:rFonts w:asciiTheme="minorHAnsi" w:hAnsiTheme="minorHAnsi"/>
          <w:color w:val="auto"/>
        </w:rPr>
      </w:pPr>
    </w:p>
    <w:p w14:paraId="461BB599" w14:textId="77777777" w:rsidR="002E1354" w:rsidRPr="00453EA8" w:rsidRDefault="002E1354" w:rsidP="007D0C93"/>
    <w:p w14:paraId="4A05368F" w14:textId="0B4BAA3D" w:rsidR="003B19F8" w:rsidRDefault="003B19F8" w:rsidP="00E23A89"/>
    <w:p w14:paraId="3AE26CC6" w14:textId="77777777" w:rsidR="001D063A" w:rsidRDefault="001D063A" w:rsidP="00E23A89">
      <w:pPr>
        <w:sectPr w:rsidR="001D063A" w:rsidSect="003B28CB">
          <w:footerReference w:type="default" r:id="rId39"/>
          <w:pgSz w:w="11907" w:h="16839" w:code="9"/>
          <w:pgMar w:top="2126" w:right="1134" w:bottom="992" w:left="1134" w:header="567" w:footer="567" w:gutter="0"/>
          <w:pgNumType w:start="1"/>
          <w:cols w:space="720"/>
          <w:docGrid w:linePitch="360"/>
        </w:sectPr>
      </w:pPr>
    </w:p>
    <w:p w14:paraId="450AD59B" w14:textId="4F9BD7F9" w:rsidR="001D063A" w:rsidRDefault="001D063A" w:rsidP="00E23A89"/>
    <w:p w14:paraId="60B97561" w14:textId="77777777" w:rsidR="003B19F8" w:rsidRDefault="003B19F8" w:rsidP="00E23A89"/>
    <w:p w14:paraId="4BB163FD" w14:textId="3C25AA4E" w:rsidR="003B19F8" w:rsidRDefault="003B19F8" w:rsidP="003B19F8">
      <w:pPr>
        <w:pStyle w:val="Heading1"/>
      </w:pPr>
      <w:bookmarkStart w:id="27" w:name="_Toc477294880"/>
      <w:r>
        <w:t>Annex 1</w:t>
      </w:r>
      <w:r w:rsidR="001D063A">
        <w:t>: Experience of respondent/family member of any kind of violence as Ahmadiyya</w:t>
      </w:r>
      <w:bookmarkEnd w:id="27"/>
    </w:p>
    <w:p w14:paraId="4A847596" w14:textId="661A870C" w:rsidR="00D22C84" w:rsidRDefault="003B19F8" w:rsidP="00151D18">
      <w:r>
        <w:rPr>
          <w:noProof/>
        </w:rPr>
        <w:drawing>
          <wp:inline distT="0" distB="0" distL="0" distR="0" wp14:anchorId="0DFF1192" wp14:editId="31B61D9B">
            <wp:extent cx="9254490" cy="3946525"/>
            <wp:effectExtent l="0" t="0" r="381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18AC427" w14:textId="19D6EED3" w:rsidR="001D063A" w:rsidRDefault="001D063A" w:rsidP="00D22C84"/>
    <w:p w14:paraId="11CB3FDF" w14:textId="3837E2D4" w:rsidR="007E022D" w:rsidRDefault="007E022D" w:rsidP="001D063A">
      <w:pPr>
        <w:pStyle w:val="Heading1"/>
      </w:pPr>
      <w:bookmarkStart w:id="28" w:name="_Toc477294881"/>
      <w:r>
        <w:t xml:space="preserve">Annex </w:t>
      </w:r>
      <w:r w:rsidR="00151D18">
        <w:t>2</w:t>
      </w:r>
      <w:r w:rsidR="001D063A">
        <w:t>: Are there local laws and regulations in your area undermining the Ahmadiyya community (</w:t>
      </w:r>
      <w:r w:rsidR="00C937FC">
        <w:t>by area</w:t>
      </w:r>
      <w:r w:rsidR="001D063A">
        <w:t>)</w:t>
      </w:r>
      <w:bookmarkEnd w:id="28"/>
    </w:p>
    <w:p w14:paraId="3D5E174B" w14:textId="77777777" w:rsidR="007E022D" w:rsidRDefault="007E022D" w:rsidP="007E022D">
      <w:r>
        <w:rPr>
          <w:noProof/>
        </w:rPr>
        <w:drawing>
          <wp:inline distT="0" distB="0" distL="0" distR="0" wp14:anchorId="7C40D8A2" wp14:editId="332128AC">
            <wp:extent cx="7277100" cy="323088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30A5F33" w14:textId="76482F28" w:rsidR="007E022D" w:rsidRPr="007E022D" w:rsidRDefault="007E022D" w:rsidP="007E022D"/>
    <w:p w14:paraId="4FF3160C" w14:textId="346EF94A" w:rsidR="008A46E3" w:rsidRPr="008A46E3" w:rsidRDefault="008A46E3" w:rsidP="008A46E3"/>
    <w:p w14:paraId="3BA1A120" w14:textId="04125C30" w:rsidR="00AE074E" w:rsidRDefault="00AE074E" w:rsidP="00B46187"/>
    <w:p w14:paraId="16341BB6" w14:textId="08817FB7" w:rsidR="00275646" w:rsidRDefault="00151D18" w:rsidP="00275646">
      <w:pPr>
        <w:pStyle w:val="Heading1"/>
      </w:pPr>
      <w:bookmarkStart w:id="29" w:name="_Toc477294882"/>
      <w:r>
        <w:t>Annex 3</w:t>
      </w:r>
      <w:r w:rsidR="00275646">
        <w:t>: Government bodies</w:t>
      </w:r>
      <w:bookmarkEnd w:id="29"/>
    </w:p>
    <w:p w14:paraId="75F1C1D4" w14:textId="4D1F8C81" w:rsidR="00275646" w:rsidRDefault="00275646" w:rsidP="00275646">
      <w:pPr>
        <w:rPr>
          <w:rFonts w:asciiTheme="minorHAnsi" w:hAnsiTheme="minorHAnsi"/>
          <w:color w:val="auto"/>
        </w:rPr>
      </w:pPr>
      <w:r>
        <w:t>Government Bodies that directly and indirectly involve in Ahmadiyya and other religious minority issues.</w:t>
      </w:r>
    </w:p>
    <w:tbl>
      <w:tblPr>
        <w:tblStyle w:val="ListTable3-Accent1"/>
        <w:tblW w:w="104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1"/>
        <w:gridCol w:w="1584"/>
        <w:gridCol w:w="2970"/>
        <w:gridCol w:w="1450"/>
        <w:gridCol w:w="3870"/>
      </w:tblGrid>
      <w:tr w:rsidR="00710370" w14:paraId="08B357C4" w14:textId="77777777" w:rsidTr="00923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1" w:type="dxa"/>
            <w:tcBorders>
              <w:bottom w:val="none" w:sz="0" w:space="0" w:color="auto"/>
              <w:right w:val="none" w:sz="0" w:space="0" w:color="auto"/>
            </w:tcBorders>
            <w:hideMark/>
          </w:tcPr>
          <w:p w14:paraId="77E269AF" w14:textId="77777777" w:rsidR="00710370" w:rsidRPr="00923446" w:rsidRDefault="00710370">
            <w:pPr>
              <w:spacing w:after="0" w:line="240" w:lineRule="auto"/>
              <w:rPr>
                <w:rFonts w:asciiTheme="minorHAnsi" w:hAnsiTheme="minorHAnsi"/>
                <w:color w:val="auto"/>
              </w:rPr>
            </w:pPr>
            <w:r w:rsidRPr="00923446">
              <w:t>No.</w:t>
            </w:r>
          </w:p>
        </w:tc>
        <w:tc>
          <w:tcPr>
            <w:tcW w:w="1584" w:type="dxa"/>
            <w:hideMark/>
          </w:tcPr>
          <w:p w14:paraId="43FD52A3" w14:textId="77777777" w:rsidR="00710370" w:rsidRDefault="00710370">
            <w:pPr>
              <w:spacing w:after="0" w:line="240" w:lineRule="auto"/>
              <w:cnfStyle w:val="100000000000" w:firstRow="1" w:lastRow="0" w:firstColumn="0" w:lastColumn="0" w:oddVBand="0" w:evenVBand="0" w:oddHBand="0" w:evenHBand="0" w:firstRowFirstColumn="0" w:firstRowLastColumn="0" w:lastRowFirstColumn="0" w:lastRowLastColumn="0"/>
            </w:pPr>
            <w:r>
              <w:t>Government Body</w:t>
            </w:r>
          </w:p>
        </w:tc>
        <w:tc>
          <w:tcPr>
            <w:tcW w:w="2970" w:type="dxa"/>
          </w:tcPr>
          <w:p w14:paraId="68581EFD" w14:textId="77777777" w:rsidR="00710370" w:rsidRDefault="00710370">
            <w:pPr>
              <w:spacing w:after="0" w:line="240" w:lineRule="auto"/>
              <w:cnfStyle w:val="100000000000" w:firstRow="1" w:lastRow="0" w:firstColumn="0" w:lastColumn="0" w:oddVBand="0" w:evenVBand="0" w:oddHBand="0" w:evenHBand="0" w:firstRowFirstColumn="0" w:firstRowLastColumn="0" w:lastRowFirstColumn="0" w:lastRowLastColumn="0"/>
              <w:rPr>
                <w:b w:val="0"/>
                <w:bCs w:val="0"/>
              </w:rPr>
            </w:pPr>
          </w:p>
        </w:tc>
        <w:tc>
          <w:tcPr>
            <w:tcW w:w="1450" w:type="dxa"/>
            <w:hideMark/>
          </w:tcPr>
          <w:p w14:paraId="17A9BFB5" w14:textId="77777777" w:rsidR="00710370" w:rsidRDefault="00710370">
            <w:pPr>
              <w:spacing w:after="0" w:line="240" w:lineRule="auto"/>
              <w:cnfStyle w:val="100000000000" w:firstRow="1" w:lastRow="0" w:firstColumn="0" w:lastColumn="0" w:oddVBand="0" w:evenVBand="0" w:oddHBand="0" w:evenHBand="0" w:firstRowFirstColumn="0" w:firstRowLastColumn="0" w:lastRowFirstColumn="0" w:lastRowLastColumn="0"/>
            </w:pPr>
            <w:r>
              <w:t>Level</w:t>
            </w:r>
          </w:p>
        </w:tc>
        <w:tc>
          <w:tcPr>
            <w:tcW w:w="3870" w:type="dxa"/>
            <w:hideMark/>
          </w:tcPr>
          <w:p w14:paraId="662C3687" w14:textId="77777777" w:rsidR="00710370" w:rsidRDefault="00710370">
            <w:pPr>
              <w:spacing w:after="0" w:line="240" w:lineRule="auto"/>
              <w:cnfStyle w:val="100000000000" w:firstRow="1" w:lastRow="0" w:firstColumn="0" w:lastColumn="0" w:oddVBand="0" w:evenVBand="0" w:oddHBand="0" w:evenHBand="0" w:firstRowFirstColumn="0" w:firstRowLastColumn="0" w:lastRowFirstColumn="0" w:lastRowLastColumn="0"/>
            </w:pPr>
            <w:r>
              <w:t>Authorities</w:t>
            </w:r>
          </w:p>
        </w:tc>
      </w:tr>
      <w:tr w:rsidR="00710370" w14:paraId="05200964"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val="restart"/>
            <w:tcBorders>
              <w:top w:val="none" w:sz="0" w:space="0" w:color="auto"/>
              <w:bottom w:val="none" w:sz="0" w:space="0" w:color="auto"/>
              <w:right w:val="none" w:sz="0" w:space="0" w:color="auto"/>
            </w:tcBorders>
            <w:hideMark/>
          </w:tcPr>
          <w:p w14:paraId="633AA390" w14:textId="77777777" w:rsidR="00710370" w:rsidRPr="006B47D0" w:rsidRDefault="00710370">
            <w:pPr>
              <w:spacing w:after="0" w:line="240" w:lineRule="auto"/>
              <w:rPr>
                <w:b w:val="0"/>
              </w:rPr>
            </w:pPr>
            <w:r w:rsidRPr="006B47D0">
              <w:rPr>
                <w:b w:val="0"/>
              </w:rPr>
              <w:t>1</w:t>
            </w:r>
          </w:p>
        </w:tc>
        <w:tc>
          <w:tcPr>
            <w:tcW w:w="1584" w:type="dxa"/>
            <w:vMerge w:val="restart"/>
            <w:tcBorders>
              <w:top w:val="none" w:sz="0" w:space="0" w:color="auto"/>
              <w:bottom w:val="none" w:sz="0" w:space="0" w:color="auto"/>
            </w:tcBorders>
            <w:hideMark/>
          </w:tcPr>
          <w:p w14:paraId="5BA1AF57" w14:textId="253FF9E4"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Ministry of Internal Affair</w:t>
            </w:r>
            <w:r w:rsidR="00923446">
              <w:t>s</w:t>
            </w:r>
          </w:p>
        </w:tc>
        <w:tc>
          <w:tcPr>
            <w:tcW w:w="2970" w:type="dxa"/>
            <w:tcBorders>
              <w:top w:val="none" w:sz="0" w:space="0" w:color="auto"/>
              <w:bottom w:val="none" w:sz="0" w:space="0" w:color="auto"/>
            </w:tcBorders>
          </w:tcPr>
          <w:p w14:paraId="64D08940"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b/>
                <w:bCs/>
              </w:rPr>
            </w:pPr>
          </w:p>
        </w:tc>
        <w:tc>
          <w:tcPr>
            <w:tcW w:w="1450" w:type="dxa"/>
            <w:tcBorders>
              <w:top w:val="none" w:sz="0" w:space="0" w:color="auto"/>
              <w:bottom w:val="none" w:sz="0" w:space="0" w:color="auto"/>
            </w:tcBorders>
            <w:hideMark/>
          </w:tcPr>
          <w:p w14:paraId="2F2E44A0"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National</w:t>
            </w:r>
          </w:p>
        </w:tc>
        <w:tc>
          <w:tcPr>
            <w:tcW w:w="3870" w:type="dxa"/>
            <w:vMerge w:val="restart"/>
            <w:tcBorders>
              <w:top w:val="none" w:sz="0" w:space="0" w:color="auto"/>
              <w:bottom w:val="none" w:sz="0" w:space="0" w:color="auto"/>
            </w:tcBorders>
            <w:hideMark/>
          </w:tcPr>
          <w:p w14:paraId="1D0B88F1" w14:textId="28F3BC17" w:rsidR="00710370" w:rsidRDefault="006B47D0" w:rsidP="006B47D0">
            <w:pPr>
              <w:spacing w:after="0" w:line="240" w:lineRule="auto"/>
              <w:cnfStyle w:val="000000100000" w:firstRow="0" w:lastRow="0" w:firstColumn="0" w:lastColumn="0" w:oddVBand="0" w:evenVBand="0" w:oddHBand="1" w:evenHBand="0" w:firstRowFirstColumn="0" w:firstRowLastColumn="0" w:lastRowFirstColumn="0" w:lastRowLastColumn="0"/>
            </w:pPr>
            <w:r>
              <w:t>To issue</w:t>
            </w:r>
            <w:r w:rsidR="00710370">
              <w:t xml:space="preserve"> identity card</w:t>
            </w:r>
            <w:r>
              <w:t>s for instance</w:t>
            </w:r>
          </w:p>
        </w:tc>
      </w:tr>
      <w:tr w:rsidR="00710370" w14:paraId="5ACD12AA"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3914EE10" w14:textId="77777777" w:rsidR="00710370" w:rsidRPr="006B47D0" w:rsidRDefault="00710370">
            <w:pPr>
              <w:spacing w:after="0" w:line="240" w:lineRule="auto"/>
              <w:rPr>
                <w:b w:val="0"/>
                <w:szCs w:val="22"/>
                <w:lang w:val="en-GB"/>
              </w:rPr>
            </w:pPr>
          </w:p>
        </w:tc>
        <w:tc>
          <w:tcPr>
            <w:tcW w:w="1584" w:type="dxa"/>
            <w:vMerge/>
            <w:hideMark/>
          </w:tcPr>
          <w:p w14:paraId="72FDA025"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06F59E76" w14:textId="45C78A00"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Disdukcapil</w:t>
            </w:r>
            <w:proofErr w:type="spellEnd"/>
            <w:r w:rsidR="006B47D0">
              <w:rPr>
                <w:bCs/>
              </w:rPr>
              <w:t xml:space="preserve"> </w:t>
            </w:r>
            <w:r w:rsidRPr="006B47D0">
              <w:rPr>
                <w:bCs/>
              </w:rPr>
              <w:t>(</w:t>
            </w:r>
            <w:proofErr w:type="spellStart"/>
            <w:r w:rsidRPr="006B47D0">
              <w:rPr>
                <w:bCs/>
              </w:rPr>
              <w:t>Dinas</w:t>
            </w:r>
            <w:proofErr w:type="spellEnd"/>
            <w:r w:rsidRPr="006B47D0">
              <w:rPr>
                <w:bCs/>
              </w:rPr>
              <w:t xml:space="preserve"> </w:t>
            </w:r>
            <w:proofErr w:type="spellStart"/>
            <w:r w:rsidRPr="006B47D0">
              <w:rPr>
                <w:bCs/>
              </w:rPr>
              <w:t>Kependudukan</w:t>
            </w:r>
            <w:proofErr w:type="spellEnd"/>
            <w:r w:rsidRPr="006B47D0">
              <w:rPr>
                <w:bCs/>
              </w:rPr>
              <w:t xml:space="preserve"> </w:t>
            </w:r>
            <w:proofErr w:type="spellStart"/>
            <w:r w:rsidRPr="006B47D0">
              <w:rPr>
                <w:bCs/>
              </w:rPr>
              <w:t>dan</w:t>
            </w:r>
            <w:proofErr w:type="spellEnd"/>
            <w:r w:rsidRPr="006B47D0">
              <w:rPr>
                <w:bCs/>
              </w:rPr>
              <w:t xml:space="preserve"> </w:t>
            </w:r>
            <w:proofErr w:type="spellStart"/>
            <w:r w:rsidRPr="006B47D0">
              <w:rPr>
                <w:bCs/>
              </w:rPr>
              <w:t>Catatan</w:t>
            </w:r>
            <w:proofErr w:type="spellEnd"/>
            <w:r w:rsidRPr="006B47D0">
              <w:rPr>
                <w:bCs/>
              </w:rPr>
              <w:t xml:space="preserve"> </w:t>
            </w:r>
            <w:proofErr w:type="spellStart"/>
            <w:r w:rsidRPr="006B47D0">
              <w:rPr>
                <w:bCs/>
              </w:rPr>
              <w:t>Sipil</w:t>
            </w:r>
            <w:proofErr w:type="spellEnd"/>
            <w:r w:rsidRPr="006B47D0">
              <w:rPr>
                <w:bCs/>
              </w:rPr>
              <w:t xml:space="preserve">/Bureau of Citizenship and Civil Registration </w:t>
            </w:r>
          </w:p>
        </w:tc>
        <w:tc>
          <w:tcPr>
            <w:tcW w:w="1450" w:type="dxa"/>
            <w:hideMark/>
          </w:tcPr>
          <w:p w14:paraId="17CCC174"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City/District</w:t>
            </w:r>
          </w:p>
        </w:tc>
        <w:tc>
          <w:tcPr>
            <w:tcW w:w="3870" w:type="dxa"/>
            <w:vMerge/>
            <w:hideMark/>
          </w:tcPr>
          <w:p w14:paraId="2526358A" w14:textId="77777777"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r>
      <w:tr w:rsidR="00710370" w14:paraId="4799025D"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0851E099"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48220315"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5BDD0AA1"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proofErr w:type="spellStart"/>
            <w:r w:rsidRPr="006B47D0">
              <w:rPr>
                <w:bCs/>
              </w:rPr>
              <w:t>Kesbangpol</w:t>
            </w:r>
            <w:proofErr w:type="spellEnd"/>
            <w:r w:rsidRPr="006B47D0">
              <w:rPr>
                <w:bCs/>
              </w:rPr>
              <w:t xml:space="preserve"> (</w:t>
            </w:r>
            <w:proofErr w:type="spellStart"/>
            <w:r w:rsidRPr="006B47D0">
              <w:rPr>
                <w:bCs/>
              </w:rPr>
              <w:t>Kesatuan</w:t>
            </w:r>
            <w:proofErr w:type="spellEnd"/>
            <w:r w:rsidRPr="006B47D0">
              <w:rPr>
                <w:bCs/>
              </w:rPr>
              <w:t xml:space="preserve"> </w:t>
            </w:r>
            <w:proofErr w:type="spellStart"/>
            <w:r w:rsidRPr="006B47D0">
              <w:rPr>
                <w:bCs/>
              </w:rPr>
              <w:t>Bangsa</w:t>
            </w:r>
            <w:proofErr w:type="spellEnd"/>
            <w:r w:rsidRPr="006B47D0">
              <w:rPr>
                <w:bCs/>
              </w:rPr>
              <w:t xml:space="preserve"> </w:t>
            </w:r>
            <w:proofErr w:type="spellStart"/>
            <w:r w:rsidRPr="006B47D0">
              <w:rPr>
                <w:bCs/>
              </w:rPr>
              <w:t>dan</w:t>
            </w:r>
            <w:proofErr w:type="spellEnd"/>
            <w:r w:rsidRPr="006B47D0">
              <w:rPr>
                <w:bCs/>
              </w:rPr>
              <w:t xml:space="preserve"> </w:t>
            </w:r>
            <w:proofErr w:type="spellStart"/>
            <w:r w:rsidRPr="006B47D0">
              <w:rPr>
                <w:bCs/>
              </w:rPr>
              <w:t>Politik</w:t>
            </w:r>
            <w:proofErr w:type="spellEnd"/>
            <w:r w:rsidRPr="006B47D0">
              <w:rPr>
                <w:bCs/>
              </w:rPr>
              <w:t xml:space="preserve">/National and Political Unity Office </w:t>
            </w:r>
          </w:p>
        </w:tc>
        <w:tc>
          <w:tcPr>
            <w:tcW w:w="1450" w:type="dxa"/>
            <w:tcBorders>
              <w:top w:val="none" w:sz="0" w:space="0" w:color="auto"/>
              <w:bottom w:val="none" w:sz="0" w:space="0" w:color="auto"/>
            </w:tcBorders>
            <w:hideMark/>
          </w:tcPr>
          <w:p w14:paraId="49ED9FB3"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City/District</w:t>
            </w:r>
          </w:p>
        </w:tc>
        <w:tc>
          <w:tcPr>
            <w:tcW w:w="3870" w:type="dxa"/>
            <w:tcBorders>
              <w:top w:val="none" w:sz="0" w:space="0" w:color="auto"/>
              <w:bottom w:val="none" w:sz="0" w:space="0" w:color="auto"/>
            </w:tcBorders>
            <w:hideMark/>
          </w:tcPr>
          <w:p w14:paraId="3C146E5E" w14:textId="4B7312E7" w:rsidR="00710370" w:rsidRDefault="006B47D0" w:rsidP="006B47D0">
            <w:pPr>
              <w:spacing w:after="0" w:line="240" w:lineRule="auto"/>
              <w:cnfStyle w:val="000000100000" w:firstRow="0" w:lastRow="0" w:firstColumn="0" w:lastColumn="0" w:oddVBand="0" w:evenVBand="0" w:oddHBand="1" w:evenHBand="0" w:firstRowFirstColumn="0" w:firstRowLastColumn="0" w:lastRowFirstColumn="0" w:lastRowLastColumn="0"/>
            </w:pPr>
            <w:r>
              <w:t>To m</w:t>
            </w:r>
            <w:r w:rsidR="00710370">
              <w:t>onitorin</w:t>
            </w:r>
            <w:r>
              <w:t>g and handle</w:t>
            </w:r>
            <w:r w:rsidR="00710370">
              <w:t xml:space="preserve"> social conflict, based o</w:t>
            </w:r>
            <w:r>
              <w:t>n ethnicity, religion, and race</w:t>
            </w:r>
            <w:r w:rsidR="00710370">
              <w:t xml:space="preserve">. </w:t>
            </w:r>
          </w:p>
        </w:tc>
      </w:tr>
      <w:tr w:rsidR="00710370" w14:paraId="77778AB8"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53FC96F4" w14:textId="77777777" w:rsidR="00710370" w:rsidRPr="006B47D0" w:rsidRDefault="00710370">
            <w:pPr>
              <w:spacing w:after="0" w:line="240" w:lineRule="auto"/>
              <w:rPr>
                <w:b w:val="0"/>
                <w:szCs w:val="22"/>
                <w:lang w:val="en-GB"/>
              </w:rPr>
            </w:pPr>
          </w:p>
        </w:tc>
        <w:tc>
          <w:tcPr>
            <w:tcW w:w="1584" w:type="dxa"/>
            <w:vMerge/>
            <w:hideMark/>
          </w:tcPr>
          <w:p w14:paraId="1C38016F"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2B9BBD4B"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Satpol</w:t>
            </w:r>
            <w:proofErr w:type="spellEnd"/>
            <w:r w:rsidRPr="006B47D0">
              <w:rPr>
                <w:bCs/>
              </w:rPr>
              <w:t xml:space="preserve"> PP (</w:t>
            </w:r>
            <w:proofErr w:type="spellStart"/>
            <w:r w:rsidRPr="006B47D0">
              <w:rPr>
                <w:bCs/>
              </w:rPr>
              <w:t>Satuan</w:t>
            </w:r>
            <w:proofErr w:type="spellEnd"/>
            <w:r w:rsidRPr="006B47D0">
              <w:rPr>
                <w:bCs/>
              </w:rPr>
              <w:t xml:space="preserve"> </w:t>
            </w:r>
            <w:proofErr w:type="spellStart"/>
            <w:r w:rsidRPr="006B47D0">
              <w:rPr>
                <w:bCs/>
              </w:rPr>
              <w:t>polisi</w:t>
            </w:r>
            <w:proofErr w:type="spellEnd"/>
            <w:r w:rsidRPr="006B47D0">
              <w:rPr>
                <w:bCs/>
              </w:rPr>
              <w:t xml:space="preserve"> </w:t>
            </w:r>
            <w:proofErr w:type="spellStart"/>
            <w:r w:rsidRPr="006B47D0">
              <w:rPr>
                <w:bCs/>
              </w:rPr>
              <w:t>Pamong</w:t>
            </w:r>
            <w:proofErr w:type="spellEnd"/>
            <w:r w:rsidRPr="006B47D0">
              <w:rPr>
                <w:bCs/>
              </w:rPr>
              <w:t xml:space="preserve"> </w:t>
            </w:r>
            <w:proofErr w:type="spellStart"/>
            <w:r w:rsidRPr="006B47D0">
              <w:rPr>
                <w:bCs/>
              </w:rPr>
              <w:t>Praja</w:t>
            </w:r>
            <w:proofErr w:type="spellEnd"/>
            <w:r w:rsidRPr="006B47D0">
              <w:rPr>
                <w:bCs/>
              </w:rPr>
              <w:t>/Public Order Agency)</w:t>
            </w:r>
          </w:p>
        </w:tc>
        <w:tc>
          <w:tcPr>
            <w:tcW w:w="1450" w:type="dxa"/>
            <w:hideMark/>
          </w:tcPr>
          <w:p w14:paraId="10B9A20B"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City/District</w:t>
            </w:r>
          </w:p>
        </w:tc>
        <w:tc>
          <w:tcPr>
            <w:tcW w:w="3870" w:type="dxa"/>
            <w:hideMark/>
          </w:tcPr>
          <w:p w14:paraId="3C8A3186" w14:textId="5D6F48BE"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pPr>
            <w:r>
              <w:t xml:space="preserve">Government apparatus </w:t>
            </w:r>
            <w:r w:rsidR="006B47D0">
              <w:t xml:space="preserve">body that </w:t>
            </w:r>
            <w:r>
              <w:t>handle</w:t>
            </w:r>
            <w:r w:rsidR="006B47D0">
              <w:t>s any matter related to events</w:t>
            </w:r>
            <w:r>
              <w:t xml:space="preserve"> that potentially has social effect.</w:t>
            </w:r>
          </w:p>
        </w:tc>
      </w:tr>
      <w:tr w:rsidR="00710370" w14:paraId="47EC3021"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40119FB1"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7F282409"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41FB6C33"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proofErr w:type="spellStart"/>
            <w:r w:rsidRPr="006B47D0">
              <w:rPr>
                <w:bCs/>
              </w:rPr>
              <w:t>Muspida</w:t>
            </w:r>
            <w:proofErr w:type="spellEnd"/>
            <w:r w:rsidRPr="006B47D0">
              <w:rPr>
                <w:bCs/>
              </w:rPr>
              <w:t xml:space="preserve"> (</w:t>
            </w:r>
            <w:proofErr w:type="spellStart"/>
            <w:r w:rsidRPr="006B47D0">
              <w:rPr>
                <w:bCs/>
              </w:rPr>
              <w:t>Musyawarah</w:t>
            </w:r>
            <w:proofErr w:type="spellEnd"/>
            <w:r w:rsidRPr="006B47D0">
              <w:rPr>
                <w:bCs/>
              </w:rPr>
              <w:t xml:space="preserve"> </w:t>
            </w:r>
            <w:proofErr w:type="spellStart"/>
            <w:r w:rsidRPr="006B47D0">
              <w:rPr>
                <w:bCs/>
              </w:rPr>
              <w:t>Pimpinan</w:t>
            </w:r>
            <w:proofErr w:type="spellEnd"/>
            <w:r w:rsidRPr="006B47D0">
              <w:rPr>
                <w:bCs/>
              </w:rPr>
              <w:t xml:space="preserve"> Daerah/Local Consultative Forum)</w:t>
            </w:r>
          </w:p>
        </w:tc>
        <w:tc>
          <w:tcPr>
            <w:tcW w:w="1450" w:type="dxa"/>
            <w:tcBorders>
              <w:top w:val="none" w:sz="0" w:space="0" w:color="auto"/>
              <w:bottom w:val="none" w:sz="0" w:space="0" w:color="auto"/>
            </w:tcBorders>
          </w:tcPr>
          <w:p w14:paraId="6572AEFA"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Province</w:t>
            </w:r>
          </w:p>
          <w:p w14:paraId="7BAF8D79"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p>
          <w:p w14:paraId="18D3674D"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City/District</w:t>
            </w:r>
          </w:p>
          <w:p w14:paraId="012EB0B2"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p>
          <w:p w14:paraId="773D4738"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Sub District</w:t>
            </w:r>
          </w:p>
        </w:tc>
        <w:tc>
          <w:tcPr>
            <w:tcW w:w="3870" w:type="dxa"/>
            <w:tcBorders>
              <w:top w:val="none" w:sz="0" w:space="0" w:color="auto"/>
              <w:bottom w:val="none" w:sz="0" w:space="0" w:color="auto"/>
            </w:tcBorders>
            <w:hideMark/>
          </w:tcPr>
          <w:p w14:paraId="04E23625" w14:textId="09F569E8" w:rsidR="00710370" w:rsidRDefault="00710370" w:rsidP="006B47D0">
            <w:pPr>
              <w:spacing w:after="0" w:line="240" w:lineRule="auto"/>
              <w:cnfStyle w:val="000000100000" w:firstRow="0" w:lastRow="0" w:firstColumn="0" w:lastColumn="0" w:oddVBand="0" w:evenVBand="0" w:oddHBand="1" w:evenHBand="0" w:firstRowFirstColumn="0" w:firstRowLastColumn="0" w:lastRowFirstColumn="0" w:lastRowLastColumn="0"/>
            </w:pPr>
            <w:r>
              <w:t>Depend on the level of forum, if its provincial forum then the members are: Governor, Chief of Police, Chief of Military, Provincial Prosecutor Office, and Chief of High Court. Then if its City/District level, then</w:t>
            </w:r>
            <w:r w:rsidR="006B47D0">
              <w:t xml:space="preserve"> the members are Mayor and the </w:t>
            </w:r>
            <w:r w:rsidR="006B47D0">
              <w:lastRenderedPageBreak/>
              <w:t>rest</w:t>
            </w:r>
            <w:r>
              <w:t xml:space="preserve">. </w:t>
            </w:r>
          </w:p>
        </w:tc>
      </w:tr>
      <w:tr w:rsidR="00710370" w14:paraId="509C1889"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4AFF383B" w14:textId="77777777" w:rsidR="00710370" w:rsidRPr="006B47D0" w:rsidRDefault="00710370">
            <w:pPr>
              <w:spacing w:after="0" w:line="240" w:lineRule="auto"/>
              <w:rPr>
                <w:b w:val="0"/>
                <w:szCs w:val="22"/>
                <w:lang w:val="en-GB"/>
              </w:rPr>
            </w:pPr>
          </w:p>
        </w:tc>
        <w:tc>
          <w:tcPr>
            <w:tcW w:w="1584" w:type="dxa"/>
            <w:vMerge/>
            <w:hideMark/>
          </w:tcPr>
          <w:p w14:paraId="3C1D0BE5"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415E2F93"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r w:rsidRPr="006B47D0">
              <w:rPr>
                <w:bCs/>
              </w:rPr>
              <w:t>Governor</w:t>
            </w:r>
          </w:p>
        </w:tc>
        <w:tc>
          <w:tcPr>
            <w:tcW w:w="1450" w:type="dxa"/>
            <w:hideMark/>
          </w:tcPr>
          <w:p w14:paraId="5553FD02"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Province</w:t>
            </w:r>
          </w:p>
        </w:tc>
        <w:tc>
          <w:tcPr>
            <w:tcW w:w="3870" w:type="dxa"/>
            <w:vMerge w:val="restart"/>
            <w:hideMark/>
          </w:tcPr>
          <w:p w14:paraId="121E1111" w14:textId="077C9C37" w:rsidR="00710370" w:rsidRDefault="006B47D0" w:rsidP="006B47D0">
            <w:pPr>
              <w:spacing w:after="0" w:line="240" w:lineRule="auto"/>
              <w:cnfStyle w:val="000000000000" w:firstRow="0" w:lastRow="0" w:firstColumn="0" w:lastColumn="0" w:oddVBand="0" w:evenVBand="0" w:oddHBand="0" w:evenHBand="0" w:firstRowFirstColumn="0" w:firstRowLastColumn="0" w:lastRowFirstColumn="0" w:lastRowLastColumn="0"/>
            </w:pPr>
            <w:r>
              <w:t>The people in these positions develop and perform the policies</w:t>
            </w:r>
            <w:r w:rsidR="00710370">
              <w:t xml:space="preserve"> </w:t>
            </w:r>
            <w:r>
              <w:t>and regulations</w:t>
            </w:r>
            <w:r w:rsidR="00710370">
              <w:t xml:space="preserve">. </w:t>
            </w:r>
            <w:r>
              <w:t>These people are very influential on the life of the Ahmadiyya.</w:t>
            </w:r>
          </w:p>
        </w:tc>
      </w:tr>
      <w:tr w:rsidR="00710370" w14:paraId="4E31000F"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0F66157E"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5A532E75"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442A145F"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Mayor</w:t>
            </w:r>
          </w:p>
        </w:tc>
        <w:tc>
          <w:tcPr>
            <w:tcW w:w="1450" w:type="dxa"/>
            <w:tcBorders>
              <w:top w:val="none" w:sz="0" w:space="0" w:color="auto"/>
              <w:bottom w:val="none" w:sz="0" w:space="0" w:color="auto"/>
            </w:tcBorders>
            <w:hideMark/>
          </w:tcPr>
          <w:p w14:paraId="1D5C607F"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City/District</w:t>
            </w:r>
          </w:p>
        </w:tc>
        <w:tc>
          <w:tcPr>
            <w:tcW w:w="3870" w:type="dxa"/>
            <w:vMerge/>
            <w:tcBorders>
              <w:top w:val="none" w:sz="0" w:space="0" w:color="auto"/>
              <w:bottom w:val="none" w:sz="0" w:space="0" w:color="auto"/>
            </w:tcBorders>
            <w:hideMark/>
          </w:tcPr>
          <w:p w14:paraId="7BEEB5C2" w14:textId="77777777" w:rsidR="00710370" w:rsidRDefault="00710370" w:rsidP="006B47D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r>
      <w:tr w:rsidR="00710370" w14:paraId="663FB6EB"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48DC244D" w14:textId="77777777" w:rsidR="00710370" w:rsidRPr="006B47D0" w:rsidRDefault="00710370">
            <w:pPr>
              <w:spacing w:after="0" w:line="240" w:lineRule="auto"/>
              <w:rPr>
                <w:b w:val="0"/>
                <w:szCs w:val="22"/>
                <w:lang w:val="en-GB"/>
              </w:rPr>
            </w:pPr>
          </w:p>
        </w:tc>
        <w:tc>
          <w:tcPr>
            <w:tcW w:w="1584" w:type="dxa"/>
            <w:vMerge/>
            <w:hideMark/>
          </w:tcPr>
          <w:p w14:paraId="40698A8B"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2BF4D7E8"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Camat</w:t>
            </w:r>
            <w:proofErr w:type="spellEnd"/>
          </w:p>
        </w:tc>
        <w:tc>
          <w:tcPr>
            <w:tcW w:w="1450" w:type="dxa"/>
            <w:hideMark/>
          </w:tcPr>
          <w:p w14:paraId="6B0B97DA"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Sub-district</w:t>
            </w:r>
          </w:p>
        </w:tc>
        <w:tc>
          <w:tcPr>
            <w:tcW w:w="3870" w:type="dxa"/>
            <w:vMerge/>
            <w:hideMark/>
          </w:tcPr>
          <w:p w14:paraId="36CD655B" w14:textId="77777777"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r>
      <w:tr w:rsidR="00710370" w14:paraId="715C0F2E"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355935F5"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3A77BC1D"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1E7882A6"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Chief of Village (</w:t>
            </w:r>
            <w:proofErr w:type="spellStart"/>
            <w:r w:rsidRPr="006B47D0">
              <w:rPr>
                <w:bCs/>
              </w:rPr>
              <w:t>Kepala</w:t>
            </w:r>
            <w:proofErr w:type="spellEnd"/>
            <w:r w:rsidRPr="006B47D0">
              <w:rPr>
                <w:bCs/>
              </w:rPr>
              <w:t xml:space="preserve"> </w:t>
            </w:r>
            <w:proofErr w:type="spellStart"/>
            <w:r w:rsidRPr="006B47D0">
              <w:rPr>
                <w:bCs/>
              </w:rPr>
              <w:t>Desa</w:t>
            </w:r>
            <w:proofErr w:type="spellEnd"/>
            <w:r w:rsidRPr="006B47D0">
              <w:rPr>
                <w:bCs/>
              </w:rPr>
              <w:t>/</w:t>
            </w:r>
            <w:proofErr w:type="spellStart"/>
            <w:r w:rsidRPr="006B47D0">
              <w:rPr>
                <w:bCs/>
              </w:rPr>
              <w:t>Lurah</w:t>
            </w:r>
            <w:proofErr w:type="spellEnd"/>
            <w:r w:rsidRPr="006B47D0">
              <w:rPr>
                <w:bCs/>
              </w:rPr>
              <w:t>)</w:t>
            </w:r>
          </w:p>
        </w:tc>
        <w:tc>
          <w:tcPr>
            <w:tcW w:w="1450" w:type="dxa"/>
            <w:tcBorders>
              <w:top w:val="none" w:sz="0" w:space="0" w:color="auto"/>
              <w:bottom w:val="none" w:sz="0" w:space="0" w:color="auto"/>
            </w:tcBorders>
            <w:hideMark/>
          </w:tcPr>
          <w:p w14:paraId="1038D32E"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Village</w:t>
            </w:r>
          </w:p>
        </w:tc>
        <w:tc>
          <w:tcPr>
            <w:tcW w:w="3870" w:type="dxa"/>
            <w:vMerge/>
            <w:tcBorders>
              <w:top w:val="none" w:sz="0" w:space="0" w:color="auto"/>
              <w:bottom w:val="none" w:sz="0" w:space="0" w:color="auto"/>
            </w:tcBorders>
            <w:hideMark/>
          </w:tcPr>
          <w:p w14:paraId="6F0A3A04" w14:textId="77777777" w:rsidR="00710370" w:rsidRDefault="00710370" w:rsidP="006B47D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r>
      <w:tr w:rsidR="00710370" w14:paraId="31A119D0"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73BF397D" w14:textId="77777777" w:rsidR="00710370" w:rsidRPr="006B47D0" w:rsidRDefault="00710370">
            <w:pPr>
              <w:spacing w:after="0" w:line="240" w:lineRule="auto"/>
              <w:rPr>
                <w:b w:val="0"/>
                <w:szCs w:val="22"/>
                <w:lang w:val="en-GB"/>
              </w:rPr>
            </w:pPr>
          </w:p>
        </w:tc>
        <w:tc>
          <w:tcPr>
            <w:tcW w:w="1584" w:type="dxa"/>
            <w:vMerge/>
            <w:hideMark/>
          </w:tcPr>
          <w:p w14:paraId="0A0D7244"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40E545F0"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r w:rsidRPr="006B47D0">
              <w:rPr>
                <w:bCs/>
              </w:rPr>
              <w:t>RW (</w:t>
            </w:r>
            <w:proofErr w:type="spellStart"/>
            <w:r w:rsidRPr="006B47D0">
              <w:rPr>
                <w:bCs/>
              </w:rPr>
              <w:t>Rukun</w:t>
            </w:r>
            <w:proofErr w:type="spellEnd"/>
            <w:r w:rsidRPr="006B47D0">
              <w:rPr>
                <w:bCs/>
              </w:rPr>
              <w:t xml:space="preserve"> </w:t>
            </w:r>
            <w:proofErr w:type="spellStart"/>
            <w:r w:rsidRPr="006B47D0">
              <w:rPr>
                <w:bCs/>
              </w:rPr>
              <w:t>Warga</w:t>
            </w:r>
            <w:proofErr w:type="spellEnd"/>
            <w:r w:rsidRPr="006B47D0">
              <w:rPr>
                <w:bCs/>
              </w:rPr>
              <w:t>)</w:t>
            </w:r>
          </w:p>
        </w:tc>
        <w:tc>
          <w:tcPr>
            <w:tcW w:w="1450" w:type="dxa"/>
          </w:tcPr>
          <w:p w14:paraId="36B8DA9C" w14:textId="6E1BF871" w:rsidR="00710370" w:rsidRDefault="006B47D0">
            <w:pPr>
              <w:spacing w:after="0" w:line="240" w:lineRule="auto"/>
              <w:cnfStyle w:val="000000000000" w:firstRow="0" w:lastRow="0" w:firstColumn="0" w:lastColumn="0" w:oddVBand="0" w:evenVBand="0" w:oddHBand="0" w:evenHBand="0" w:firstRowFirstColumn="0" w:firstRowLastColumn="0" w:lastRowFirstColumn="0" w:lastRowLastColumn="0"/>
            </w:pPr>
            <w:r>
              <w:t>Sub-village level</w:t>
            </w:r>
          </w:p>
        </w:tc>
        <w:tc>
          <w:tcPr>
            <w:tcW w:w="3870" w:type="dxa"/>
          </w:tcPr>
          <w:p w14:paraId="6CA76504" w14:textId="77777777"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pPr>
          </w:p>
        </w:tc>
      </w:tr>
      <w:tr w:rsidR="00710370" w14:paraId="6A85533F"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0C681DB4"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11482D67"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190285F0"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RT (</w:t>
            </w:r>
            <w:proofErr w:type="spellStart"/>
            <w:r w:rsidRPr="006B47D0">
              <w:rPr>
                <w:bCs/>
              </w:rPr>
              <w:t>Rukun</w:t>
            </w:r>
            <w:proofErr w:type="spellEnd"/>
            <w:r w:rsidRPr="006B47D0">
              <w:rPr>
                <w:bCs/>
              </w:rPr>
              <w:t xml:space="preserve"> </w:t>
            </w:r>
            <w:proofErr w:type="spellStart"/>
            <w:r w:rsidRPr="006B47D0">
              <w:rPr>
                <w:bCs/>
              </w:rPr>
              <w:t>Tetangga</w:t>
            </w:r>
            <w:proofErr w:type="spellEnd"/>
            <w:r w:rsidRPr="006B47D0">
              <w:rPr>
                <w:bCs/>
              </w:rPr>
              <w:t>)</w:t>
            </w:r>
          </w:p>
        </w:tc>
        <w:tc>
          <w:tcPr>
            <w:tcW w:w="1450" w:type="dxa"/>
            <w:tcBorders>
              <w:top w:val="none" w:sz="0" w:space="0" w:color="auto"/>
              <w:bottom w:val="none" w:sz="0" w:space="0" w:color="auto"/>
            </w:tcBorders>
          </w:tcPr>
          <w:p w14:paraId="10D90089" w14:textId="2CF8A65E" w:rsidR="00710370" w:rsidRDefault="006B47D0">
            <w:pPr>
              <w:spacing w:after="0" w:line="240" w:lineRule="auto"/>
              <w:cnfStyle w:val="000000100000" w:firstRow="0" w:lastRow="0" w:firstColumn="0" w:lastColumn="0" w:oddVBand="0" w:evenVBand="0" w:oddHBand="1" w:evenHBand="0" w:firstRowFirstColumn="0" w:firstRowLastColumn="0" w:lastRowFirstColumn="0" w:lastRowLastColumn="0"/>
            </w:pPr>
            <w:r>
              <w:t>Household level</w:t>
            </w:r>
          </w:p>
        </w:tc>
        <w:tc>
          <w:tcPr>
            <w:tcW w:w="3870" w:type="dxa"/>
            <w:tcBorders>
              <w:top w:val="none" w:sz="0" w:space="0" w:color="auto"/>
              <w:bottom w:val="none" w:sz="0" w:space="0" w:color="auto"/>
            </w:tcBorders>
          </w:tcPr>
          <w:p w14:paraId="6FF65205" w14:textId="77777777" w:rsidR="00710370" w:rsidRDefault="00710370" w:rsidP="006B47D0">
            <w:pPr>
              <w:spacing w:after="0" w:line="240" w:lineRule="auto"/>
              <w:cnfStyle w:val="000000100000" w:firstRow="0" w:lastRow="0" w:firstColumn="0" w:lastColumn="0" w:oddVBand="0" w:evenVBand="0" w:oddHBand="1" w:evenHBand="0" w:firstRowFirstColumn="0" w:firstRowLastColumn="0" w:lastRowFirstColumn="0" w:lastRowLastColumn="0"/>
            </w:pPr>
          </w:p>
        </w:tc>
      </w:tr>
      <w:tr w:rsidR="00710370" w14:paraId="399DD4E2" w14:textId="77777777" w:rsidTr="00923446">
        <w:tc>
          <w:tcPr>
            <w:cnfStyle w:val="001000000000" w:firstRow="0" w:lastRow="0" w:firstColumn="1" w:lastColumn="0" w:oddVBand="0" w:evenVBand="0" w:oddHBand="0" w:evenHBand="0" w:firstRowFirstColumn="0" w:firstRowLastColumn="0" w:lastRowFirstColumn="0" w:lastRowLastColumn="0"/>
            <w:tcW w:w="561" w:type="dxa"/>
            <w:vMerge w:val="restart"/>
            <w:tcBorders>
              <w:right w:val="none" w:sz="0" w:space="0" w:color="auto"/>
            </w:tcBorders>
            <w:hideMark/>
          </w:tcPr>
          <w:p w14:paraId="17D79937" w14:textId="77777777" w:rsidR="00710370" w:rsidRPr="006B47D0" w:rsidRDefault="00710370">
            <w:pPr>
              <w:spacing w:after="0" w:line="240" w:lineRule="auto"/>
              <w:rPr>
                <w:b w:val="0"/>
              </w:rPr>
            </w:pPr>
            <w:r w:rsidRPr="006B47D0">
              <w:rPr>
                <w:b w:val="0"/>
              </w:rPr>
              <w:t>2</w:t>
            </w:r>
          </w:p>
        </w:tc>
        <w:tc>
          <w:tcPr>
            <w:tcW w:w="1584" w:type="dxa"/>
            <w:vMerge w:val="restart"/>
            <w:hideMark/>
          </w:tcPr>
          <w:p w14:paraId="451D9A16"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Ministry of Religious Affairs</w:t>
            </w:r>
          </w:p>
        </w:tc>
        <w:tc>
          <w:tcPr>
            <w:tcW w:w="2970" w:type="dxa"/>
          </w:tcPr>
          <w:p w14:paraId="1BAD264B"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50" w:type="dxa"/>
            <w:hideMark/>
          </w:tcPr>
          <w:p w14:paraId="5CA2DF17"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National</w:t>
            </w:r>
          </w:p>
        </w:tc>
        <w:tc>
          <w:tcPr>
            <w:tcW w:w="3870" w:type="dxa"/>
          </w:tcPr>
          <w:p w14:paraId="6F555902" w14:textId="77777777"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pPr>
          </w:p>
        </w:tc>
      </w:tr>
      <w:tr w:rsidR="00710370" w14:paraId="4B9BD6A9"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76FCC202"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59ABB3BF"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2B1B8B51"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 xml:space="preserve">KUA (Kantor </w:t>
            </w:r>
            <w:proofErr w:type="spellStart"/>
            <w:r w:rsidRPr="006B47D0">
              <w:rPr>
                <w:bCs/>
              </w:rPr>
              <w:t>Urusan</w:t>
            </w:r>
            <w:proofErr w:type="spellEnd"/>
            <w:r w:rsidRPr="006B47D0">
              <w:rPr>
                <w:bCs/>
              </w:rPr>
              <w:t xml:space="preserve"> Agama/Office of Religious Affairs)</w:t>
            </w:r>
          </w:p>
        </w:tc>
        <w:tc>
          <w:tcPr>
            <w:tcW w:w="1450" w:type="dxa"/>
            <w:tcBorders>
              <w:top w:val="none" w:sz="0" w:space="0" w:color="auto"/>
              <w:bottom w:val="none" w:sz="0" w:space="0" w:color="auto"/>
            </w:tcBorders>
            <w:hideMark/>
          </w:tcPr>
          <w:p w14:paraId="5ABC6F9A"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Sub-district</w:t>
            </w:r>
          </w:p>
        </w:tc>
        <w:tc>
          <w:tcPr>
            <w:tcW w:w="3870" w:type="dxa"/>
            <w:tcBorders>
              <w:top w:val="none" w:sz="0" w:space="0" w:color="auto"/>
              <w:bottom w:val="none" w:sz="0" w:space="0" w:color="auto"/>
            </w:tcBorders>
            <w:hideMark/>
          </w:tcPr>
          <w:p w14:paraId="0A12443C" w14:textId="2CABEEDC" w:rsidR="00710370" w:rsidRDefault="006B47D0" w:rsidP="006B47D0">
            <w:pPr>
              <w:spacing w:after="0" w:line="240" w:lineRule="auto"/>
              <w:cnfStyle w:val="000000100000" w:firstRow="0" w:lastRow="0" w:firstColumn="0" w:lastColumn="0" w:oddVBand="0" w:evenVBand="0" w:oddHBand="1" w:evenHBand="0" w:firstRowFirstColumn="0" w:firstRowLastColumn="0" w:lastRowFirstColumn="0" w:lastRowLastColumn="0"/>
            </w:pPr>
            <w:r>
              <w:t>To issue</w:t>
            </w:r>
            <w:r w:rsidR="00710370">
              <w:t xml:space="preserve"> marriage certificate</w:t>
            </w:r>
            <w:r>
              <w:t>s</w:t>
            </w:r>
          </w:p>
        </w:tc>
      </w:tr>
      <w:tr w:rsidR="00710370" w14:paraId="7C78ACB6"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3486F0EE" w14:textId="77777777" w:rsidR="00710370" w:rsidRPr="006B47D0" w:rsidRDefault="00710370">
            <w:pPr>
              <w:spacing w:after="0" w:line="240" w:lineRule="auto"/>
              <w:rPr>
                <w:b w:val="0"/>
                <w:szCs w:val="22"/>
                <w:lang w:val="en-GB"/>
              </w:rPr>
            </w:pPr>
          </w:p>
        </w:tc>
        <w:tc>
          <w:tcPr>
            <w:tcW w:w="1584" w:type="dxa"/>
            <w:vMerge/>
            <w:hideMark/>
          </w:tcPr>
          <w:p w14:paraId="37D5A4A4"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1A19FAAD"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r w:rsidRPr="006B47D0">
              <w:rPr>
                <w:bCs/>
              </w:rPr>
              <w:t>Regional office</w:t>
            </w:r>
          </w:p>
        </w:tc>
        <w:tc>
          <w:tcPr>
            <w:tcW w:w="1450" w:type="dxa"/>
            <w:hideMark/>
          </w:tcPr>
          <w:p w14:paraId="71B2832E"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City/District</w:t>
            </w:r>
          </w:p>
        </w:tc>
        <w:tc>
          <w:tcPr>
            <w:tcW w:w="3870" w:type="dxa"/>
            <w:hideMark/>
          </w:tcPr>
          <w:p w14:paraId="685F6EB9" w14:textId="21C5F3D9" w:rsidR="00710370" w:rsidRDefault="006B47D0" w:rsidP="006B47D0">
            <w:pPr>
              <w:spacing w:after="0" w:line="240" w:lineRule="auto"/>
              <w:cnfStyle w:val="000000000000" w:firstRow="0" w:lastRow="0" w:firstColumn="0" w:lastColumn="0" w:oddVBand="0" w:evenVBand="0" w:oddHBand="0" w:evenHBand="0" w:firstRowFirstColumn="0" w:firstRowLastColumn="0" w:lastRowFirstColumn="0" w:lastRowLastColumn="0"/>
            </w:pPr>
            <w:r>
              <w:t>To manage</w:t>
            </w:r>
            <w:r w:rsidR="00710370">
              <w:t xml:space="preserve"> teache</w:t>
            </w:r>
            <w:r>
              <w:t>rs in religious schools</w:t>
            </w:r>
          </w:p>
        </w:tc>
      </w:tr>
      <w:tr w:rsidR="00710370" w14:paraId="6EAD4222"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3C86BD60"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181BDE13"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00233C59"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 xml:space="preserve">FKUB (Forum </w:t>
            </w:r>
            <w:proofErr w:type="spellStart"/>
            <w:r w:rsidRPr="006B47D0">
              <w:rPr>
                <w:bCs/>
              </w:rPr>
              <w:t>Kerukunan</w:t>
            </w:r>
            <w:proofErr w:type="spellEnd"/>
            <w:r w:rsidRPr="006B47D0">
              <w:rPr>
                <w:bCs/>
              </w:rPr>
              <w:t xml:space="preserve"> </w:t>
            </w:r>
            <w:proofErr w:type="spellStart"/>
            <w:r w:rsidRPr="006B47D0">
              <w:rPr>
                <w:bCs/>
              </w:rPr>
              <w:t>Umat</w:t>
            </w:r>
            <w:proofErr w:type="spellEnd"/>
            <w:r w:rsidRPr="006B47D0">
              <w:rPr>
                <w:bCs/>
              </w:rPr>
              <w:t xml:space="preserve"> </w:t>
            </w:r>
            <w:proofErr w:type="spellStart"/>
            <w:r w:rsidRPr="006B47D0">
              <w:rPr>
                <w:bCs/>
              </w:rPr>
              <w:t>Beragama</w:t>
            </w:r>
            <w:proofErr w:type="spellEnd"/>
            <w:r w:rsidRPr="006B47D0">
              <w:rPr>
                <w:bCs/>
              </w:rPr>
              <w:t>/Inter-religious Harmony Forum)</w:t>
            </w:r>
          </w:p>
        </w:tc>
        <w:tc>
          <w:tcPr>
            <w:tcW w:w="1450" w:type="dxa"/>
            <w:tcBorders>
              <w:top w:val="none" w:sz="0" w:space="0" w:color="auto"/>
              <w:bottom w:val="none" w:sz="0" w:space="0" w:color="auto"/>
            </w:tcBorders>
            <w:hideMark/>
          </w:tcPr>
          <w:p w14:paraId="62CED3B5"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Sub-district</w:t>
            </w:r>
          </w:p>
        </w:tc>
        <w:tc>
          <w:tcPr>
            <w:tcW w:w="3870" w:type="dxa"/>
            <w:tcBorders>
              <w:top w:val="none" w:sz="0" w:space="0" w:color="auto"/>
              <w:bottom w:val="none" w:sz="0" w:space="0" w:color="auto"/>
            </w:tcBorders>
            <w:hideMark/>
          </w:tcPr>
          <w:p w14:paraId="339CBB7F" w14:textId="01640C8B" w:rsidR="00710370" w:rsidRDefault="006B47D0" w:rsidP="006B47D0">
            <w:pPr>
              <w:spacing w:after="0" w:line="240" w:lineRule="auto"/>
              <w:cnfStyle w:val="000000100000" w:firstRow="0" w:lastRow="0" w:firstColumn="0" w:lastColumn="0" w:oddVBand="0" w:evenVBand="0" w:oddHBand="1" w:evenHBand="0" w:firstRowFirstColumn="0" w:firstRowLastColumn="0" w:lastRowFirstColumn="0" w:lastRowLastColumn="0"/>
            </w:pPr>
            <w:r>
              <w:t>To handle and maintain</w:t>
            </w:r>
            <w:r w:rsidR="00710370">
              <w:t xml:space="preserve"> harmony among other religions.</w:t>
            </w:r>
            <w:r>
              <w:t xml:space="preserve"> Only the 6 official religions are united in this forum</w:t>
            </w:r>
          </w:p>
        </w:tc>
      </w:tr>
      <w:tr w:rsidR="00710370" w14:paraId="68C959A7" w14:textId="77777777" w:rsidTr="00923446">
        <w:tc>
          <w:tcPr>
            <w:cnfStyle w:val="001000000000" w:firstRow="0" w:lastRow="0" w:firstColumn="1" w:lastColumn="0" w:oddVBand="0" w:evenVBand="0" w:oddHBand="0" w:evenHBand="0" w:firstRowFirstColumn="0" w:firstRowLastColumn="0" w:lastRowFirstColumn="0" w:lastRowLastColumn="0"/>
            <w:tcW w:w="561" w:type="dxa"/>
            <w:tcBorders>
              <w:right w:val="none" w:sz="0" w:space="0" w:color="auto"/>
            </w:tcBorders>
          </w:tcPr>
          <w:p w14:paraId="07CF0260" w14:textId="77777777" w:rsidR="00710370" w:rsidRPr="006B47D0" w:rsidRDefault="00710370">
            <w:pPr>
              <w:spacing w:after="0" w:line="240" w:lineRule="auto"/>
              <w:rPr>
                <w:b w:val="0"/>
              </w:rPr>
            </w:pPr>
          </w:p>
        </w:tc>
        <w:tc>
          <w:tcPr>
            <w:tcW w:w="1584" w:type="dxa"/>
          </w:tcPr>
          <w:p w14:paraId="2B9ABF45"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2970" w:type="dxa"/>
            <w:hideMark/>
          </w:tcPr>
          <w:p w14:paraId="6AA87BDA"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Bakorpakem</w:t>
            </w:r>
            <w:proofErr w:type="spellEnd"/>
            <w:r w:rsidRPr="006B47D0">
              <w:rPr>
                <w:bCs/>
              </w:rPr>
              <w:t xml:space="preserve"> (</w:t>
            </w:r>
            <w:proofErr w:type="spellStart"/>
            <w:r w:rsidRPr="006B47D0">
              <w:rPr>
                <w:bCs/>
              </w:rPr>
              <w:t>Badan</w:t>
            </w:r>
            <w:proofErr w:type="spellEnd"/>
            <w:r w:rsidRPr="006B47D0">
              <w:rPr>
                <w:bCs/>
              </w:rPr>
              <w:t xml:space="preserve"> </w:t>
            </w:r>
            <w:proofErr w:type="spellStart"/>
            <w:r w:rsidRPr="006B47D0">
              <w:rPr>
                <w:bCs/>
              </w:rPr>
              <w:t>Koordinasi</w:t>
            </w:r>
            <w:proofErr w:type="spellEnd"/>
            <w:r w:rsidRPr="006B47D0">
              <w:rPr>
                <w:bCs/>
              </w:rPr>
              <w:t xml:space="preserve"> </w:t>
            </w:r>
            <w:proofErr w:type="spellStart"/>
            <w:r w:rsidRPr="006B47D0">
              <w:rPr>
                <w:bCs/>
              </w:rPr>
              <w:t>Pengawasan</w:t>
            </w:r>
            <w:proofErr w:type="spellEnd"/>
            <w:r w:rsidRPr="006B47D0">
              <w:rPr>
                <w:bCs/>
              </w:rPr>
              <w:t xml:space="preserve"> </w:t>
            </w:r>
            <w:proofErr w:type="spellStart"/>
            <w:r w:rsidRPr="006B47D0">
              <w:rPr>
                <w:bCs/>
              </w:rPr>
              <w:t>Aliran</w:t>
            </w:r>
            <w:proofErr w:type="spellEnd"/>
            <w:r w:rsidRPr="006B47D0">
              <w:rPr>
                <w:bCs/>
              </w:rPr>
              <w:t xml:space="preserve"> </w:t>
            </w:r>
            <w:proofErr w:type="spellStart"/>
            <w:r w:rsidRPr="006B47D0">
              <w:rPr>
                <w:bCs/>
              </w:rPr>
              <w:t>Kepercayaan</w:t>
            </w:r>
            <w:proofErr w:type="spellEnd"/>
            <w:r w:rsidRPr="006B47D0">
              <w:rPr>
                <w:bCs/>
              </w:rPr>
              <w:t xml:space="preserve"> Masyarakat/Coordinating Board for Monitoring Mystical Beliefs in Society)</w:t>
            </w:r>
          </w:p>
        </w:tc>
        <w:tc>
          <w:tcPr>
            <w:tcW w:w="1450" w:type="dxa"/>
          </w:tcPr>
          <w:p w14:paraId="5CA44677"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3870" w:type="dxa"/>
            <w:hideMark/>
          </w:tcPr>
          <w:p w14:paraId="25302F21" w14:textId="3529F91C" w:rsidR="00710370" w:rsidRDefault="006B47D0" w:rsidP="006B47D0">
            <w:pPr>
              <w:spacing w:after="0" w:line="240" w:lineRule="auto"/>
              <w:cnfStyle w:val="000000000000" w:firstRow="0" w:lastRow="0" w:firstColumn="0" w:lastColumn="0" w:oddVBand="0" w:evenVBand="0" w:oddHBand="0" w:evenHBand="0" w:firstRowFirstColumn="0" w:firstRowLastColumn="0" w:lastRowFirstColumn="0" w:lastRowLastColumn="0"/>
            </w:pPr>
            <w:r>
              <w:t>This board is created</w:t>
            </w:r>
            <w:r w:rsidR="00710370">
              <w:t xml:space="preserve"> by Ministry of Home Affair, Ministry of Religious Affairs, Attorn</w:t>
            </w:r>
            <w:r>
              <w:t>ey General, and National Police in monitoring mystical beliefs</w:t>
            </w:r>
          </w:p>
        </w:tc>
      </w:tr>
      <w:tr w:rsidR="00710370" w14:paraId="3C5D053E"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bottom w:val="none" w:sz="0" w:space="0" w:color="auto"/>
              <w:right w:val="none" w:sz="0" w:space="0" w:color="auto"/>
            </w:tcBorders>
            <w:hideMark/>
          </w:tcPr>
          <w:p w14:paraId="0F815DD2" w14:textId="77777777" w:rsidR="00710370" w:rsidRPr="006B47D0" w:rsidRDefault="00710370">
            <w:pPr>
              <w:spacing w:after="0" w:line="240" w:lineRule="auto"/>
              <w:rPr>
                <w:b w:val="0"/>
              </w:rPr>
            </w:pPr>
            <w:r w:rsidRPr="006B47D0">
              <w:rPr>
                <w:b w:val="0"/>
              </w:rPr>
              <w:t>3</w:t>
            </w:r>
          </w:p>
        </w:tc>
        <w:tc>
          <w:tcPr>
            <w:tcW w:w="1584" w:type="dxa"/>
            <w:tcBorders>
              <w:top w:val="none" w:sz="0" w:space="0" w:color="auto"/>
              <w:bottom w:val="none" w:sz="0" w:space="0" w:color="auto"/>
            </w:tcBorders>
            <w:hideMark/>
          </w:tcPr>
          <w:p w14:paraId="70F90852"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 xml:space="preserve">Ministry of Education </w:t>
            </w:r>
          </w:p>
        </w:tc>
        <w:tc>
          <w:tcPr>
            <w:tcW w:w="2970" w:type="dxa"/>
            <w:tcBorders>
              <w:top w:val="none" w:sz="0" w:space="0" w:color="auto"/>
              <w:bottom w:val="none" w:sz="0" w:space="0" w:color="auto"/>
            </w:tcBorders>
            <w:hideMark/>
          </w:tcPr>
          <w:p w14:paraId="1CC11320"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Bureau of Education</w:t>
            </w:r>
          </w:p>
        </w:tc>
        <w:tc>
          <w:tcPr>
            <w:tcW w:w="1450" w:type="dxa"/>
            <w:tcBorders>
              <w:top w:val="none" w:sz="0" w:space="0" w:color="auto"/>
              <w:bottom w:val="none" w:sz="0" w:space="0" w:color="auto"/>
            </w:tcBorders>
            <w:hideMark/>
          </w:tcPr>
          <w:p w14:paraId="3607644E"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City/District</w:t>
            </w:r>
          </w:p>
        </w:tc>
        <w:tc>
          <w:tcPr>
            <w:tcW w:w="3870" w:type="dxa"/>
            <w:tcBorders>
              <w:top w:val="none" w:sz="0" w:space="0" w:color="auto"/>
              <w:bottom w:val="none" w:sz="0" w:space="0" w:color="auto"/>
            </w:tcBorders>
            <w:hideMark/>
          </w:tcPr>
          <w:p w14:paraId="549FC838" w14:textId="54F05279" w:rsidR="00710370" w:rsidRDefault="006B47D0" w:rsidP="006B47D0">
            <w:pPr>
              <w:spacing w:after="0" w:line="240" w:lineRule="auto"/>
              <w:cnfStyle w:val="000000100000" w:firstRow="0" w:lastRow="0" w:firstColumn="0" w:lastColumn="0" w:oddVBand="0" w:evenVBand="0" w:oddHBand="1" w:evenHBand="0" w:firstRowFirstColumn="0" w:firstRowLastColumn="0" w:lastRowFirstColumn="0" w:lastRowLastColumn="0"/>
            </w:pPr>
            <w:r>
              <w:t>To manage</w:t>
            </w:r>
            <w:r w:rsidR="00710370">
              <w:t xml:space="preserve"> teachers in public and secular schools</w:t>
            </w:r>
          </w:p>
        </w:tc>
      </w:tr>
      <w:tr w:rsidR="00710370" w14:paraId="1436815C" w14:textId="77777777" w:rsidTr="00923446">
        <w:tc>
          <w:tcPr>
            <w:cnfStyle w:val="001000000000" w:firstRow="0" w:lastRow="0" w:firstColumn="1" w:lastColumn="0" w:oddVBand="0" w:evenVBand="0" w:oddHBand="0" w:evenHBand="0" w:firstRowFirstColumn="0" w:firstRowLastColumn="0" w:lastRowFirstColumn="0" w:lastRowLastColumn="0"/>
            <w:tcW w:w="561" w:type="dxa"/>
            <w:tcBorders>
              <w:right w:val="none" w:sz="0" w:space="0" w:color="auto"/>
            </w:tcBorders>
          </w:tcPr>
          <w:p w14:paraId="579EEF11" w14:textId="77777777" w:rsidR="00710370" w:rsidRPr="006B47D0" w:rsidRDefault="00710370">
            <w:pPr>
              <w:spacing w:after="0" w:line="240" w:lineRule="auto"/>
              <w:rPr>
                <w:b w:val="0"/>
              </w:rPr>
            </w:pPr>
          </w:p>
        </w:tc>
        <w:tc>
          <w:tcPr>
            <w:tcW w:w="1584" w:type="dxa"/>
          </w:tcPr>
          <w:p w14:paraId="07464D53"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2970" w:type="dxa"/>
          </w:tcPr>
          <w:p w14:paraId="2F111D14"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50" w:type="dxa"/>
          </w:tcPr>
          <w:p w14:paraId="3E955D62"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3870" w:type="dxa"/>
          </w:tcPr>
          <w:p w14:paraId="032C5FA2" w14:textId="77777777"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pPr>
          </w:p>
        </w:tc>
      </w:tr>
      <w:tr w:rsidR="00710370" w14:paraId="555290D0"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val="restart"/>
            <w:tcBorders>
              <w:top w:val="none" w:sz="0" w:space="0" w:color="auto"/>
              <w:bottom w:val="none" w:sz="0" w:space="0" w:color="auto"/>
              <w:right w:val="none" w:sz="0" w:space="0" w:color="auto"/>
            </w:tcBorders>
            <w:hideMark/>
          </w:tcPr>
          <w:p w14:paraId="0A0D5A80" w14:textId="77777777" w:rsidR="00710370" w:rsidRPr="006B47D0" w:rsidRDefault="00710370">
            <w:pPr>
              <w:spacing w:after="0" w:line="240" w:lineRule="auto"/>
              <w:rPr>
                <w:b w:val="0"/>
              </w:rPr>
            </w:pPr>
            <w:r w:rsidRPr="006B47D0">
              <w:rPr>
                <w:b w:val="0"/>
              </w:rPr>
              <w:t>4</w:t>
            </w:r>
          </w:p>
        </w:tc>
        <w:tc>
          <w:tcPr>
            <w:tcW w:w="1584" w:type="dxa"/>
            <w:vMerge w:val="restart"/>
            <w:tcBorders>
              <w:top w:val="none" w:sz="0" w:space="0" w:color="auto"/>
              <w:bottom w:val="none" w:sz="0" w:space="0" w:color="auto"/>
            </w:tcBorders>
            <w:hideMark/>
          </w:tcPr>
          <w:p w14:paraId="3D559D31"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Police</w:t>
            </w:r>
          </w:p>
        </w:tc>
        <w:tc>
          <w:tcPr>
            <w:tcW w:w="2970" w:type="dxa"/>
            <w:tcBorders>
              <w:top w:val="none" w:sz="0" w:space="0" w:color="auto"/>
              <w:bottom w:val="none" w:sz="0" w:space="0" w:color="auto"/>
            </w:tcBorders>
            <w:hideMark/>
          </w:tcPr>
          <w:p w14:paraId="187C3F96"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proofErr w:type="spellStart"/>
            <w:r w:rsidRPr="006B47D0">
              <w:rPr>
                <w:bCs/>
              </w:rPr>
              <w:t>Polda</w:t>
            </w:r>
            <w:proofErr w:type="spellEnd"/>
            <w:r w:rsidRPr="006B47D0">
              <w:rPr>
                <w:bCs/>
              </w:rPr>
              <w:t xml:space="preserve"> (</w:t>
            </w:r>
            <w:proofErr w:type="spellStart"/>
            <w:r w:rsidRPr="006B47D0">
              <w:rPr>
                <w:bCs/>
              </w:rPr>
              <w:t>Kepolisian</w:t>
            </w:r>
            <w:proofErr w:type="spellEnd"/>
            <w:r w:rsidRPr="006B47D0">
              <w:rPr>
                <w:bCs/>
              </w:rPr>
              <w:t xml:space="preserve"> </w:t>
            </w:r>
            <w:r w:rsidRPr="006B47D0">
              <w:rPr>
                <w:bCs/>
              </w:rPr>
              <w:lastRenderedPageBreak/>
              <w:t>Daerah/Police of Province)</w:t>
            </w:r>
          </w:p>
        </w:tc>
        <w:tc>
          <w:tcPr>
            <w:tcW w:w="1450" w:type="dxa"/>
            <w:tcBorders>
              <w:top w:val="none" w:sz="0" w:space="0" w:color="auto"/>
              <w:bottom w:val="none" w:sz="0" w:space="0" w:color="auto"/>
            </w:tcBorders>
            <w:hideMark/>
          </w:tcPr>
          <w:p w14:paraId="71A02EB6"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lastRenderedPageBreak/>
              <w:t>Province</w:t>
            </w:r>
          </w:p>
        </w:tc>
        <w:tc>
          <w:tcPr>
            <w:tcW w:w="3870" w:type="dxa"/>
            <w:tcBorders>
              <w:top w:val="none" w:sz="0" w:space="0" w:color="auto"/>
              <w:bottom w:val="none" w:sz="0" w:space="0" w:color="auto"/>
            </w:tcBorders>
          </w:tcPr>
          <w:p w14:paraId="292CF86D" w14:textId="3B840CC6" w:rsidR="00710370" w:rsidRDefault="00923446" w:rsidP="006B47D0">
            <w:pPr>
              <w:spacing w:after="0" w:line="240" w:lineRule="auto"/>
              <w:cnfStyle w:val="000000100000" w:firstRow="0" w:lastRow="0" w:firstColumn="0" w:lastColumn="0" w:oddVBand="0" w:evenVBand="0" w:oddHBand="1" w:evenHBand="0" w:firstRowFirstColumn="0" w:firstRowLastColumn="0" w:lastRowFirstColumn="0" w:lastRowLastColumn="0"/>
            </w:pPr>
            <w:r>
              <w:t xml:space="preserve">As the state apparatus, police </w:t>
            </w:r>
            <w:r>
              <w:lastRenderedPageBreak/>
              <w:t>maintain and guarantee citizen’s safety, regardless their ethnicity, religion, and race</w:t>
            </w:r>
          </w:p>
        </w:tc>
      </w:tr>
      <w:tr w:rsidR="00710370" w14:paraId="25A675AA"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5B8A588C" w14:textId="77777777" w:rsidR="00710370" w:rsidRPr="006B47D0" w:rsidRDefault="00710370">
            <w:pPr>
              <w:spacing w:after="0" w:line="240" w:lineRule="auto"/>
              <w:rPr>
                <w:b w:val="0"/>
                <w:szCs w:val="22"/>
                <w:lang w:val="en-GB"/>
              </w:rPr>
            </w:pPr>
          </w:p>
        </w:tc>
        <w:tc>
          <w:tcPr>
            <w:tcW w:w="1584" w:type="dxa"/>
            <w:vMerge/>
            <w:hideMark/>
          </w:tcPr>
          <w:p w14:paraId="6573DCA8"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28E50528"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Polres</w:t>
            </w:r>
            <w:proofErr w:type="spellEnd"/>
            <w:r w:rsidRPr="006B47D0">
              <w:rPr>
                <w:bCs/>
              </w:rPr>
              <w:t>/</w:t>
            </w:r>
            <w:proofErr w:type="spellStart"/>
            <w:r w:rsidRPr="006B47D0">
              <w:rPr>
                <w:bCs/>
              </w:rPr>
              <w:t>Polresta</w:t>
            </w:r>
            <w:proofErr w:type="spellEnd"/>
            <w:r w:rsidRPr="006B47D0">
              <w:rPr>
                <w:bCs/>
              </w:rPr>
              <w:t xml:space="preserve"> (</w:t>
            </w:r>
            <w:proofErr w:type="spellStart"/>
            <w:r w:rsidRPr="006B47D0">
              <w:rPr>
                <w:bCs/>
              </w:rPr>
              <w:t>Kepolisian</w:t>
            </w:r>
            <w:proofErr w:type="spellEnd"/>
            <w:r w:rsidRPr="006B47D0">
              <w:rPr>
                <w:bCs/>
              </w:rPr>
              <w:t xml:space="preserve"> Resort/</w:t>
            </w:r>
            <w:proofErr w:type="spellStart"/>
            <w:r w:rsidRPr="006B47D0">
              <w:rPr>
                <w:bCs/>
              </w:rPr>
              <w:t>Kepolisian</w:t>
            </w:r>
            <w:proofErr w:type="spellEnd"/>
            <w:r w:rsidRPr="006B47D0">
              <w:rPr>
                <w:bCs/>
              </w:rPr>
              <w:t xml:space="preserve"> Resort Kota/ Police Resort)</w:t>
            </w:r>
          </w:p>
        </w:tc>
        <w:tc>
          <w:tcPr>
            <w:tcW w:w="1450" w:type="dxa"/>
            <w:hideMark/>
          </w:tcPr>
          <w:p w14:paraId="75038720"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City/District</w:t>
            </w:r>
          </w:p>
        </w:tc>
        <w:tc>
          <w:tcPr>
            <w:tcW w:w="3870" w:type="dxa"/>
          </w:tcPr>
          <w:p w14:paraId="2363CE4A" w14:textId="07006994" w:rsidR="00710370" w:rsidRDefault="00923446" w:rsidP="006B47D0">
            <w:pPr>
              <w:spacing w:after="0" w:line="240" w:lineRule="auto"/>
              <w:cnfStyle w:val="000000000000" w:firstRow="0" w:lastRow="0" w:firstColumn="0" w:lastColumn="0" w:oddVBand="0" w:evenVBand="0" w:oddHBand="0" w:evenHBand="0" w:firstRowFirstColumn="0" w:firstRowLastColumn="0" w:lastRowFirstColumn="0" w:lastRowLastColumn="0"/>
            </w:pPr>
            <w:r>
              <w:t>As the state apparatus, police maintain and guarantee citizen’s safety, regardless their ethnicity, religion, and race</w:t>
            </w:r>
          </w:p>
        </w:tc>
      </w:tr>
      <w:tr w:rsidR="00710370" w14:paraId="7945A087"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7DFCC083" w14:textId="77777777" w:rsidR="00710370" w:rsidRPr="006B47D0" w:rsidRDefault="00710370">
            <w:pPr>
              <w:spacing w:after="0" w:line="240" w:lineRule="auto"/>
              <w:rPr>
                <w:b w:val="0"/>
                <w:szCs w:val="22"/>
                <w:lang w:val="en-GB"/>
              </w:rPr>
            </w:pPr>
          </w:p>
        </w:tc>
        <w:tc>
          <w:tcPr>
            <w:tcW w:w="1584" w:type="dxa"/>
            <w:vMerge/>
            <w:tcBorders>
              <w:top w:val="none" w:sz="0" w:space="0" w:color="auto"/>
              <w:bottom w:val="none" w:sz="0" w:space="0" w:color="auto"/>
            </w:tcBorders>
            <w:hideMark/>
          </w:tcPr>
          <w:p w14:paraId="647265E9"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13BC9375"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proofErr w:type="spellStart"/>
            <w:r w:rsidRPr="006B47D0">
              <w:rPr>
                <w:bCs/>
              </w:rPr>
              <w:t>Polsek</w:t>
            </w:r>
            <w:proofErr w:type="spellEnd"/>
            <w:r w:rsidRPr="006B47D0">
              <w:rPr>
                <w:bCs/>
              </w:rPr>
              <w:t xml:space="preserve"> (Police Sector)</w:t>
            </w:r>
          </w:p>
        </w:tc>
        <w:tc>
          <w:tcPr>
            <w:tcW w:w="1450" w:type="dxa"/>
            <w:tcBorders>
              <w:top w:val="none" w:sz="0" w:space="0" w:color="auto"/>
              <w:bottom w:val="none" w:sz="0" w:space="0" w:color="auto"/>
            </w:tcBorders>
            <w:hideMark/>
          </w:tcPr>
          <w:p w14:paraId="4471B3FD"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Sub-district</w:t>
            </w:r>
          </w:p>
        </w:tc>
        <w:tc>
          <w:tcPr>
            <w:tcW w:w="3870" w:type="dxa"/>
            <w:tcBorders>
              <w:top w:val="none" w:sz="0" w:space="0" w:color="auto"/>
              <w:bottom w:val="none" w:sz="0" w:space="0" w:color="auto"/>
            </w:tcBorders>
            <w:hideMark/>
          </w:tcPr>
          <w:p w14:paraId="5912CB7F" w14:textId="0587F824" w:rsidR="00710370" w:rsidRDefault="00710370" w:rsidP="006B47D0">
            <w:pPr>
              <w:spacing w:after="0" w:line="240" w:lineRule="auto"/>
              <w:cnfStyle w:val="000000100000" w:firstRow="0" w:lastRow="0" w:firstColumn="0" w:lastColumn="0" w:oddVBand="0" w:evenVBand="0" w:oddHBand="1" w:evenHBand="0" w:firstRowFirstColumn="0" w:firstRowLastColumn="0" w:lastRowFirstColumn="0" w:lastRowLastColumn="0"/>
            </w:pPr>
            <w:r>
              <w:t>As</w:t>
            </w:r>
            <w:r w:rsidR="006B47D0">
              <w:t xml:space="preserve"> the state apparatus, police</w:t>
            </w:r>
            <w:r w:rsidR="00923446">
              <w:t xml:space="preserve"> maintain </w:t>
            </w:r>
            <w:r>
              <w:t>and guarantee citizen</w:t>
            </w:r>
            <w:r w:rsidR="00923446">
              <w:t>’s</w:t>
            </w:r>
            <w:r>
              <w:t xml:space="preserve"> safety, regardless thei</w:t>
            </w:r>
            <w:r w:rsidR="00923446">
              <w:t>r ethnicity, religion, and race</w:t>
            </w:r>
          </w:p>
        </w:tc>
      </w:tr>
      <w:tr w:rsidR="00710370" w14:paraId="5C6326BB"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7F2C5360" w14:textId="77777777" w:rsidR="00710370" w:rsidRPr="006B47D0" w:rsidRDefault="00710370">
            <w:pPr>
              <w:spacing w:after="0" w:line="240" w:lineRule="auto"/>
              <w:rPr>
                <w:b w:val="0"/>
                <w:szCs w:val="22"/>
                <w:lang w:val="en-GB"/>
              </w:rPr>
            </w:pPr>
          </w:p>
        </w:tc>
        <w:tc>
          <w:tcPr>
            <w:tcW w:w="1584" w:type="dxa"/>
            <w:vMerge/>
            <w:hideMark/>
          </w:tcPr>
          <w:p w14:paraId="62877F49"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032B05A4"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proofErr w:type="spellStart"/>
            <w:r w:rsidRPr="006B47D0">
              <w:rPr>
                <w:bCs/>
              </w:rPr>
              <w:t>Binmas</w:t>
            </w:r>
            <w:proofErr w:type="spellEnd"/>
            <w:r w:rsidRPr="006B47D0">
              <w:rPr>
                <w:bCs/>
              </w:rPr>
              <w:t xml:space="preserve"> (</w:t>
            </w:r>
            <w:proofErr w:type="spellStart"/>
            <w:r w:rsidRPr="006B47D0">
              <w:rPr>
                <w:bCs/>
              </w:rPr>
              <w:t>Pembinaan</w:t>
            </w:r>
            <w:proofErr w:type="spellEnd"/>
            <w:r w:rsidRPr="006B47D0">
              <w:rPr>
                <w:bCs/>
              </w:rPr>
              <w:t xml:space="preserve"> </w:t>
            </w:r>
            <w:proofErr w:type="spellStart"/>
            <w:r w:rsidRPr="006B47D0">
              <w:rPr>
                <w:bCs/>
              </w:rPr>
              <w:t>masyarakat</w:t>
            </w:r>
            <w:proofErr w:type="spellEnd"/>
            <w:r w:rsidRPr="006B47D0">
              <w:rPr>
                <w:bCs/>
              </w:rPr>
              <w:t>/Community Development)</w:t>
            </w:r>
          </w:p>
        </w:tc>
        <w:tc>
          <w:tcPr>
            <w:tcW w:w="1450" w:type="dxa"/>
            <w:hideMark/>
          </w:tcPr>
          <w:p w14:paraId="24840A32"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Each of level of Police</w:t>
            </w:r>
          </w:p>
        </w:tc>
        <w:tc>
          <w:tcPr>
            <w:tcW w:w="3870" w:type="dxa"/>
            <w:hideMark/>
          </w:tcPr>
          <w:p w14:paraId="7887DAAF" w14:textId="17FAE08D" w:rsidR="00710370" w:rsidRDefault="00710370" w:rsidP="006B47D0">
            <w:pPr>
              <w:spacing w:after="0" w:line="240" w:lineRule="auto"/>
              <w:cnfStyle w:val="000000000000" w:firstRow="0" w:lastRow="0" w:firstColumn="0" w:lastColumn="0" w:oddVBand="0" w:evenVBand="0" w:oddHBand="0" w:evenHBand="0" w:firstRowFirstColumn="0" w:firstRowLastColumn="0" w:lastRowFirstColumn="0" w:lastRowLastColumn="0"/>
            </w:pPr>
            <w:r>
              <w:t>Unit</w:t>
            </w:r>
            <w:r w:rsidR="00923446">
              <w:t xml:space="preserve"> in police responsible for</w:t>
            </w:r>
            <w:r>
              <w:t xml:space="preserve"> handling any social problems, regarding ethn</w:t>
            </w:r>
            <w:r w:rsidR="00923446">
              <w:t>icity, religion, race</w:t>
            </w:r>
            <w:r>
              <w:t xml:space="preserve"> in their jurisdiction.</w:t>
            </w:r>
          </w:p>
        </w:tc>
      </w:tr>
      <w:tr w:rsidR="00710370" w14:paraId="3258210B"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val="restart"/>
            <w:tcBorders>
              <w:top w:val="none" w:sz="0" w:space="0" w:color="auto"/>
              <w:bottom w:val="none" w:sz="0" w:space="0" w:color="auto"/>
              <w:right w:val="none" w:sz="0" w:space="0" w:color="auto"/>
            </w:tcBorders>
            <w:hideMark/>
          </w:tcPr>
          <w:p w14:paraId="62D1CD2A" w14:textId="77777777" w:rsidR="00710370" w:rsidRPr="006B47D0" w:rsidRDefault="00710370">
            <w:pPr>
              <w:spacing w:after="0" w:line="240" w:lineRule="auto"/>
              <w:rPr>
                <w:b w:val="0"/>
              </w:rPr>
            </w:pPr>
            <w:r w:rsidRPr="006B47D0">
              <w:rPr>
                <w:b w:val="0"/>
              </w:rPr>
              <w:t>5</w:t>
            </w:r>
          </w:p>
        </w:tc>
        <w:tc>
          <w:tcPr>
            <w:tcW w:w="1584" w:type="dxa"/>
            <w:vMerge w:val="restart"/>
            <w:tcBorders>
              <w:top w:val="none" w:sz="0" w:space="0" w:color="auto"/>
              <w:bottom w:val="none" w:sz="0" w:space="0" w:color="auto"/>
            </w:tcBorders>
            <w:hideMark/>
          </w:tcPr>
          <w:p w14:paraId="25B8C06A"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 xml:space="preserve">Legislative </w:t>
            </w:r>
          </w:p>
        </w:tc>
        <w:tc>
          <w:tcPr>
            <w:tcW w:w="2970" w:type="dxa"/>
            <w:tcBorders>
              <w:top w:val="none" w:sz="0" w:space="0" w:color="auto"/>
              <w:bottom w:val="none" w:sz="0" w:space="0" w:color="auto"/>
            </w:tcBorders>
            <w:hideMark/>
          </w:tcPr>
          <w:p w14:paraId="3BBA7B86"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 xml:space="preserve">DPR (Dewan </w:t>
            </w:r>
            <w:proofErr w:type="spellStart"/>
            <w:r w:rsidRPr="006B47D0">
              <w:rPr>
                <w:bCs/>
              </w:rPr>
              <w:t>Perwakilan</w:t>
            </w:r>
            <w:proofErr w:type="spellEnd"/>
            <w:r w:rsidRPr="006B47D0">
              <w:rPr>
                <w:bCs/>
              </w:rPr>
              <w:t xml:space="preserve"> Rakyat/House of Representative</w:t>
            </w:r>
          </w:p>
        </w:tc>
        <w:tc>
          <w:tcPr>
            <w:tcW w:w="1450" w:type="dxa"/>
            <w:tcBorders>
              <w:top w:val="none" w:sz="0" w:space="0" w:color="auto"/>
              <w:bottom w:val="none" w:sz="0" w:space="0" w:color="auto"/>
            </w:tcBorders>
            <w:hideMark/>
          </w:tcPr>
          <w:p w14:paraId="7C21956C"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National</w:t>
            </w:r>
          </w:p>
        </w:tc>
        <w:tc>
          <w:tcPr>
            <w:tcW w:w="3870" w:type="dxa"/>
            <w:vMerge w:val="restart"/>
            <w:tcBorders>
              <w:top w:val="none" w:sz="0" w:space="0" w:color="auto"/>
              <w:bottom w:val="none" w:sz="0" w:space="0" w:color="auto"/>
            </w:tcBorders>
            <w:hideMark/>
          </w:tcPr>
          <w:p w14:paraId="2F6E56F5" w14:textId="0F8DB8EE" w:rsidR="00710370" w:rsidRDefault="00923446" w:rsidP="006B47D0">
            <w:pPr>
              <w:spacing w:after="0" w:line="240" w:lineRule="auto"/>
              <w:cnfStyle w:val="000000100000" w:firstRow="0" w:lastRow="0" w:firstColumn="0" w:lastColumn="0" w:oddVBand="0" w:evenVBand="0" w:oddHBand="1" w:evenHBand="0" w:firstRowFirstColumn="0" w:firstRowLastColumn="0" w:lastRowFirstColumn="0" w:lastRowLastColumn="0"/>
            </w:pPr>
            <w:r>
              <w:t>A government body with the</w:t>
            </w:r>
            <w:r w:rsidR="00710370">
              <w:t xml:space="preserve"> authority to issue legislation/regulation.</w:t>
            </w:r>
          </w:p>
        </w:tc>
      </w:tr>
      <w:tr w:rsidR="00710370" w14:paraId="6FFA6451" w14:textId="77777777" w:rsidTr="00923446">
        <w:tc>
          <w:tcPr>
            <w:cnfStyle w:val="001000000000" w:firstRow="0" w:lastRow="0" w:firstColumn="1" w:lastColumn="0" w:oddVBand="0" w:evenVBand="0" w:oddHBand="0" w:evenHBand="0" w:firstRowFirstColumn="0" w:firstRowLastColumn="0" w:lastRowFirstColumn="0" w:lastRowLastColumn="0"/>
            <w:tcW w:w="561" w:type="dxa"/>
            <w:vMerge/>
            <w:tcBorders>
              <w:right w:val="none" w:sz="0" w:space="0" w:color="auto"/>
            </w:tcBorders>
            <w:hideMark/>
          </w:tcPr>
          <w:p w14:paraId="79F86335" w14:textId="77777777" w:rsidR="00710370" w:rsidRDefault="00710370">
            <w:pPr>
              <w:spacing w:after="0" w:line="240" w:lineRule="auto"/>
              <w:rPr>
                <w:szCs w:val="22"/>
                <w:lang w:val="en-GB"/>
              </w:rPr>
            </w:pPr>
          </w:p>
        </w:tc>
        <w:tc>
          <w:tcPr>
            <w:tcW w:w="1584" w:type="dxa"/>
            <w:vMerge/>
            <w:hideMark/>
          </w:tcPr>
          <w:p w14:paraId="4902DBA5"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c>
          <w:tcPr>
            <w:tcW w:w="2970" w:type="dxa"/>
            <w:hideMark/>
          </w:tcPr>
          <w:p w14:paraId="0DB1184B" w14:textId="77777777" w:rsidR="00710370" w:rsidRPr="006B47D0" w:rsidRDefault="00710370" w:rsidP="006B47D0">
            <w:pPr>
              <w:spacing w:after="0" w:line="240" w:lineRule="auto"/>
              <w:jc w:val="left"/>
              <w:cnfStyle w:val="000000000000" w:firstRow="0" w:lastRow="0" w:firstColumn="0" w:lastColumn="0" w:oddVBand="0" w:evenVBand="0" w:oddHBand="0" w:evenHBand="0" w:firstRowFirstColumn="0" w:firstRowLastColumn="0" w:lastRowFirstColumn="0" w:lastRowLastColumn="0"/>
              <w:rPr>
                <w:bCs/>
              </w:rPr>
            </w:pPr>
            <w:r w:rsidRPr="006B47D0">
              <w:rPr>
                <w:bCs/>
              </w:rPr>
              <w:t xml:space="preserve">DPRD (Dewan </w:t>
            </w:r>
            <w:proofErr w:type="spellStart"/>
            <w:r w:rsidRPr="006B47D0">
              <w:rPr>
                <w:bCs/>
              </w:rPr>
              <w:t>Perwakilan</w:t>
            </w:r>
            <w:proofErr w:type="spellEnd"/>
            <w:r w:rsidRPr="006B47D0">
              <w:rPr>
                <w:bCs/>
              </w:rPr>
              <w:t xml:space="preserve"> Rakyat Daerah/Local House of Representative</w:t>
            </w:r>
          </w:p>
        </w:tc>
        <w:tc>
          <w:tcPr>
            <w:tcW w:w="1450" w:type="dxa"/>
            <w:hideMark/>
          </w:tcPr>
          <w:p w14:paraId="5DFDB66F"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pPr>
            <w:r>
              <w:t>Province</w:t>
            </w:r>
          </w:p>
        </w:tc>
        <w:tc>
          <w:tcPr>
            <w:tcW w:w="3870" w:type="dxa"/>
            <w:vMerge/>
            <w:hideMark/>
          </w:tcPr>
          <w:p w14:paraId="694C9B36" w14:textId="77777777" w:rsidR="00710370" w:rsidRDefault="00710370">
            <w:pPr>
              <w:spacing w:after="0" w:line="240" w:lineRule="auto"/>
              <w:cnfStyle w:val="000000000000" w:firstRow="0" w:lastRow="0" w:firstColumn="0" w:lastColumn="0" w:oddVBand="0" w:evenVBand="0" w:oddHBand="0" w:evenHBand="0" w:firstRowFirstColumn="0" w:firstRowLastColumn="0" w:lastRowFirstColumn="0" w:lastRowLastColumn="0"/>
              <w:rPr>
                <w:szCs w:val="22"/>
                <w:lang w:val="en-GB"/>
              </w:rPr>
            </w:pPr>
          </w:p>
        </w:tc>
      </w:tr>
      <w:tr w:rsidR="00710370" w14:paraId="3E418F65" w14:textId="77777777" w:rsidTr="00923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vMerge/>
            <w:tcBorders>
              <w:top w:val="none" w:sz="0" w:space="0" w:color="auto"/>
              <w:bottom w:val="none" w:sz="0" w:space="0" w:color="auto"/>
              <w:right w:val="none" w:sz="0" w:space="0" w:color="auto"/>
            </w:tcBorders>
            <w:hideMark/>
          </w:tcPr>
          <w:p w14:paraId="73E77142" w14:textId="77777777" w:rsidR="00710370" w:rsidRDefault="00710370">
            <w:pPr>
              <w:spacing w:after="0" w:line="240" w:lineRule="auto"/>
              <w:rPr>
                <w:szCs w:val="22"/>
                <w:lang w:val="en-GB"/>
              </w:rPr>
            </w:pPr>
          </w:p>
        </w:tc>
        <w:tc>
          <w:tcPr>
            <w:tcW w:w="1584" w:type="dxa"/>
            <w:vMerge/>
            <w:tcBorders>
              <w:top w:val="none" w:sz="0" w:space="0" w:color="auto"/>
              <w:bottom w:val="none" w:sz="0" w:space="0" w:color="auto"/>
            </w:tcBorders>
            <w:hideMark/>
          </w:tcPr>
          <w:p w14:paraId="10F0D84E"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c>
          <w:tcPr>
            <w:tcW w:w="2970" w:type="dxa"/>
            <w:tcBorders>
              <w:top w:val="none" w:sz="0" w:space="0" w:color="auto"/>
              <w:bottom w:val="none" w:sz="0" w:space="0" w:color="auto"/>
            </w:tcBorders>
            <w:hideMark/>
          </w:tcPr>
          <w:p w14:paraId="02A6EE66" w14:textId="77777777" w:rsidR="00710370" w:rsidRPr="006B47D0" w:rsidRDefault="00710370" w:rsidP="006B47D0">
            <w:pPr>
              <w:spacing w:after="0" w:line="240" w:lineRule="auto"/>
              <w:jc w:val="left"/>
              <w:cnfStyle w:val="000000100000" w:firstRow="0" w:lastRow="0" w:firstColumn="0" w:lastColumn="0" w:oddVBand="0" w:evenVBand="0" w:oddHBand="1" w:evenHBand="0" w:firstRowFirstColumn="0" w:firstRowLastColumn="0" w:lastRowFirstColumn="0" w:lastRowLastColumn="0"/>
              <w:rPr>
                <w:bCs/>
              </w:rPr>
            </w:pPr>
            <w:r w:rsidRPr="006B47D0">
              <w:rPr>
                <w:bCs/>
              </w:rPr>
              <w:t xml:space="preserve">DPRD (Dewan </w:t>
            </w:r>
            <w:proofErr w:type="spellStart"/>
            <w:r w:rsidRPr="006B47D0">
              <w:rPr>
                <w:bCs/>
              </w:rPr>
              <w:t>Perwakilan</w:t>
            </w:r>
            <w:proofErr w:type="spellEnd"/>
            <w:r w:rsidRPr="006B47D0">
              <w:rPr>
                <w:bCs/>
              </w:rPr>
              <w:t xml:space="preserve"> Rakyat Daerah/Local House of Representative</w:t>
            </w:r>
          </w:p>
        </w:tc>
        <w:tc>
          <w:tcPr>
            <w:tcW w:w="1450" w:type="dxa"/>
            <w:tcBorders>
              <w:top w:val="none" w:sz="0" w:space="0" w:color="auto"/>
              <w:bottom w:val="none" w:sz="0" w:space="0" w:color="auto"/>
            </w:tcBorders>
            <w:hideMark/>
          </w:tcPr>
          <w:p w14:paraId="59146C29"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pPr>
            <w:r>
              <w:t>City/District</w:t>
            </w:r>
          </w:p>
        </w:tc>
        <w:tc>
          <w:tcPr>
            <w:tcW w:w="3870" w:type="dxa"/>
            <w:vMerge/>
            <w:tcBorders>
              <w:top w:val="none" w:sz="0" w:space="0" w:color="auto"/>
              <w:bottom w:val="none" w:sz="0" w:space="0" w:color="auto"/>
            </w:tcBorders>
            <w:hideMark/>
          </w:tcPr>
          <w:p w14:paraId="7F864812" w14:textId="77777777" w:rsidR="00710370" w:rsidRDefault="00710370">
            <w:pPr>
              <w:spacing w:after="0" w:line="240" w:lineRule="auto"/>
              <w:cnfStyle w:val="000000100000" w:firstRow="0" w:lastRow="0" w:firstColumn="0" w:lastColumn="0" w:oddVBand="0" w:evenVBand="0" w:oddHBand="1" w:evenHBand="0" w:firstRowFirstColumn="0" w:firstRowLastColumn="0" w:lastRowFirstColumn="0" w:lastRowLastColumn="0"/>
              <w:rPr>
                <w:szCs w:val="22"/>
                <w:lang w:val="en-GB"/>
              </w:rPr>
            </w:pPr>
          </w:p>
        </w:tc>
      </w:tr>
    </w:tbl>
    <w:p w14:paraId="176B8200" w14:textId="5DC4458B" w:rsidR="00194740" w:rsidRDefault="00194740" w:rsidP="00275646">
      <w:pPr>
        <w:sectPr w:rsidR="00194740" w:rsidSect="001D063A">
          <w:pgSz w:w="16839" w:h="11907" w:orient="landscape" w:code="9"/>
          <w:pgMar w:top="1134" w:right="2126" w:bottom="1134" w:left="992" w:header="567" w:footer="567" w:gutter="0"/>
          <w:pgNumType w:start="1"/>
          <w:cols w:space="720"/>
          <w:docGrid w:linePitch="360"/>
        </w:sectPr>
      </w:pPr>
    </w:p>
    <w:p w14:paraId="07B90CB6" w14:textId="476A2D1A" w:rsidR="00CF3656" w:rsidRDefault="00151D18" w:rsidP="00CF3656">
      <w:pPr>
        <w:pStyle w:val="Heading1"/>
      </w:pPr>
      <w:bookmarkStart w:id="30" w:name="_Toc477294883"/>
      <w:r>
        <w:lastRenderedPageBreak/>
        <w:t>Annex 4</w:t>
      </w:r>
      <w:r w:rsidR="00CF3656">
        <w:t>: Context Analysis</w:t>
      </w:r>
      <w:bookmarkEnd w:id="30"/>
    </w:p>
    <w:p w14:paraId="4B310843" w14:textId="54B9E085" w:rsidR="003C22B8" w:rsidRDefault="003C22B8" w:rsidP="003C22B8"/>
    <w:p w14:paraId="300FCBBE"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Introduction to the research</w:t>
      </w:r>
    </w:p>
    <w:p w14:paraId="690806B2"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Farsight, together with Setara Institute in Jakarta and Fahmina Institute in Cirebon, is conducting research on the protection and security of Ahmadis in Indonesia. With support from the NWO-Wotro, a Dutch applied research fund, the research commenced in May 2016 and will be finalized in November 2016. The research team has selected 5 areas in Java where we will interview members from the Ahmadiyya community, surrounding communities, local officials and other members of society close to the Ahmadiyya community.</w:t>
      </w:r>
    </w:p>
    <w:p w14:paraId="73F5D039"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three organizations collaborating on this project have an interest in supporting people’s freedom to express their religion. In recent years, radical Islamic groups have demanded that the Indonesian government enforce legal restrictions on Ahmadiyya to practice their faith. By issuing the Joint Regulation in 2008 which allowed for government institutions to have the authority to warn a religious group that may be suspected of spreading ‘deviant’ religious teachings, the government appeared to partially concede to these demands. While the government argued that the regulation grants protection to the Ahmadiyya, political groups use the legislation to minimize the rights of the Ahmadiyya to freedom of religion. In addition, the Blasphemy Law of 2010 has further weakened the legal status of Ahmadiyya. In a country where religion and politics are highly interwoven, it is difficult to see how to protect the rights of Ahmadiyya to religious life, and how they can be free from the threat of violence and discrimination.</w:t>
      </w:r>
    </w:p>
    <w:p w14:paraId="38421AAF" w14:textId="77777777" w:rsidR="00194740" w:rsidRPr="00194740" w:rsidRDefault="00194740" w:rsidP="00194740">
      <w:pPr>
        <w:spacing w:after="120"/>
        <w:rPr>
          <w:rFonts w:ascii="Calibri" w:eastAsia="Calibri" w:hAnsi="Calibri"/>
          <w:noProof/>
          <w:color w:val="auto"/>
        </w:rPr>
      </w:pPr>
      <w:r w:rsidRPr="00194740">
        <w:rPr>
          <w:rFonts w:ascii="Calibri" w:eastAsia="Calibri" w:hAnsi="Calibri"/>
          <w:noProof/>
          <w:color w:val="auto"/>
        </w:rPr>
        <w:t>This research will review the nature of discrimination and persecution experienced by the Ahmadiyya, and investigate the mechanisms they are using to protect themselves. These mechanisms are required when the government and law enforcement are not able, or not willing, to protect Ahmadis. Although this research still looks into the role of the government and its different institutions, other stakeholders involved in this research include: the surrounding communities, local civil society organizations and religious leaders. The research will identify how the Ahmadis are organizing themselves and the relationships they have with other stakeholders in order to protect themselves. The lessons learned and other recommendations from the research will be implemented by the practitioner organization. We expect that these lessons could also have broader value for other marginalized groups in the Indonesian society that lack protection and security.</w:t>
      </w:r>
    </w:p>
    <w:p w14:paraId="5B068EB4"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Methodology</w:t>
      </w:r>
    </w:p>
    <w:p w14:paraId="259D7525"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objective of the context analysis is to have a better understanding of past and current incidents of violence and persecution towards, and protection of, Ahmadiyya communities in Indonesia over the last 10 years.</w:t>
      </w:r>
    </w:p>
    <w:p w14:paraId="24A3D98B"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methods we will use are:</w:t>
      </w:r>
    </w:p>
    <w:p w14:paraId="3CDD7FD0" w14:textId="77777777" w:rsidR="00194740" w:rsidRPr="00194740" w:rsidRDefault="00194740" w:rsidP="00194740">
      <w:pPr>
        <w:numPr>
          <w:ilvl w:val="0"/>
          <w:numId w:val="24"/>
        </w:numPr>
        <w:spacing w:after="120"/>
        <w:rPr>
          <w:rFonts w:ascii="Calibri" w:hAnsi="Calibri"/>
          <w:noProof/>
          <w:color w:val="auto"/>
          <w:lang w:val="en-GB"/>
        </w:rPr>
      </w:pPr>
      <w:r w:rsidRPr="00194740">
        <w:rPr>
          <w:rFonts w:ascii="Calibri" w:hAnsi="Calibri"/>
          <w:noProof/>
          <w:color w:val="auto"/>
          <w:lang w:val="en-GB"/>
        </w:rPr>
        <w:t>Desk Study of documents deriving from Setara Institute and Fahmina Institute.</w:t>
      </w:r>
    </w:p>
    <w:p w14:paraId="187D31FF" w14:textId="77777777" w:rsidR="00194740" w:rsidRPr="00194740" w:rsidRDefault="00194740" w:rsidP="00194740">
      <w:pPr>
        <w:numPr>
          <w:ilvl w:val="0"/>
          <w:numId w:val="24"/>
        </w:numPr>
        <w:spacing w:after="120"/>
        <w:rPr>
          <w:rFonts w:ascii="Calibri" w:hAnsi="Calibri"/>
          <w:noProof/>
          <w:color w:val="auto"/>
          <w:lang w:val="en-GB"/>
        </w:rPr>
      </w:pPr>
      <w:r w:rsidRPr="00194740">
        <w:rPr>
          <w:rFonts w:ascii="Calibri" w:hAnsi="Calibri"/>
          <w:noProof/>
          <w:color w:val="auto"/>
          <w:lang w:val="en-GB"/>
        </w:rPr>
        <w:t>Desk Study of other academic research.</w:t>
      </w:r>
    </w:p>
    <w:p w14:paraId="15F3B88A" w14:textId="77777777" w:rsidR="00194740" w:rsidRPr="00194740" w:rsidRDefault="00194740" w:rsidP="00194740">
      <w:pPr>
        <w:numPr>
          <w:ilvl w:val="0"/>
          <w:numId w:val="24"/>
        </w:numPr>
        <w:spacing w:after="120"/>
        <w:rPr>
          <w:rFonts w:ascii="Calibri" w:hAnsi="Calibri"/>
          <w:noProof/>
          <w:color w:val="auto"/>
          <w:lang w:val="en-GB"/>
        </w:rPr>
      </w:pPr>
      <w:r w:rsidRPr="00194740">
        <w:rPr>
          <w:rFonts w:ascii="Calibri" w:hAnsi="Calibri"/>
          <w:noProof/>
          <w:color w:val="auto"/>
          <w:lang w:val="en-GB"/>
        </w:rPr>
        <w:t xml:space="preserve">Key Informant Interviews (Priyambudi Sulistiyanto - Lecturer/Researcher; Najib Burhani - Academic researcher of LIPI; Andreas Harsono - subject matter expert at Human Rights Watch; </w:t>
      </w:r>
      <w:r w:rsidRPr="00194740">
        <w:rPr>
          <w:rFonts w:ascii="Calibri" w:hAnsi="Calibri"/>
          <w:noProof/>
          <w:color w:val="auto"/>
          <w:lang w:val="en-GB"/>
        </w:rPr>
        <w:lastRenderedPageBreak/>
        <w:t>Representative head of Ahmadiyya community in Jakarta; Bambang Ertanto -  Program Peduli religious minority expert; Musdah Mulia - chairperson of Indonesia Conference on Religion for Peace).</w:t>
      </w:r>
    </w:p>
    <w:p w14:paraId="41FB42C0"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Terminology</w:t>
      </w:r>
    </w:p>
    <w:p w14:paraId="5F3C9790"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Indonesian abbreviations can be found in the annex. Key terms and concepts used throughout the research have been defined as follows:</w:t>
      </w:r>
    </w:p>
    <w:p w14:paraId="328F6B05"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Freedom of Religion:</w:t>
      </w:r>
    </w:p>
    <w:p w14:paraId="43097462"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Religion is part of identity, which includes race or nationality and also a part of personhood.</w:t>
      </w:r>
      <w:r w:rsidRPr="00194740">
        <w:rPr>
          <w:rFonts w:ascii="Calibri" w:eastAsia="MS Mincho" w:hAnsi="Calibri"/>
          <w:noProof/>
          <w:color w:val="auto"/>
          <w:vertAlign w:val="superscript"/>
          <w:lang w:val="en-GB"/>
        </w:rPr>
        <w:footnoteReference w:id="13"/>
      </w:r>
      <w:r w:rsidRPr="00194740">
        <w:rPr>
          <w:rFonts w:ascii="Calibri" w:hAnsi="Calibri"/>
          <w:noProof/>
          <w:color w:val="auto"/>
          <w:lang w:val="en-GB"/>
        </w:rPr>
        <w:t xml:space="preserve"> It has an important role in establishing national identity and cohesiveness, and consequently may underwrite nationalism.</w:t>
      </w:r>
      <w:r w:rsidRPr="00194740">
        <w:rPr>
          <w:rFonts w:ascii="Calibri" w:eastAsia="MS Mincho" w:hAnsi="Calibri"/>
          <w:noProof/>
          <w:color w:val="auto"/>
          <w:vertAlign w:val="superscript"/>
          <w:lang w:val="en-GB"/>
        </w:rPr>
        <w:footnoteReference w:id="14"/>
      </w:r>
      <w:r w:rsidRPr="00194740">
        <w:rPr>
          <w:rFonts w:ascii="Calibri" w:hAnsi="Calibri"/>
          <w:noProof/>
          <w:color w:val="auto"/>
          <w:lang w:val="en-GB"/>
        </w:rPr>
        <w:t xml:space="preserve"> International human rights law provides a framework to protect freedom of religion and freedom of thought and conscience through human rights treaties.</w:t>
      </w:r>
      <w:r w:rsidRPr="00194740">
        <w:rPr>
          <w:rFonts w:ascii="Calibri" w:hAnsi="Calibri"/>
          <w:noProof/>
          <w:color w:val="auto"/>
          <w:sz w:val="18"/>
          <w:vertAlign w:val="superscript"/>
          <w:lang w:val="en-GB"/>
        </w:rPr>
        <w:footnoteReference w:id="15"/>
      </w:r>
      <w:r w:rsidRPr="00194740">
        <w:rPr>
          <w:rFonts w:ascii="Calibri" w:hAnsi="Calibri"/>
          <w:noProof/>
          <w:color w:val="auto"/>
          <w:lang w:val="en-GB"/>
        </w:rPr>
        <w:t xml:space="preserve"> These treaties comprise the right to adopt, change or renounce one’s religion or belief, either alone or in community with others and in public or in private. </w:t>
      </w:r>
    </w:p>
    <w:p w14:paraId="5CC2BE13"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Indonesia has ratified and adopted the International Covenant on Civil and Political Rights which states the freedom of religion shall protect ‘theistic, non-theistic and atheistic beliefs’ and also ‘the right not to profess any religion or belief’.</w:t>
      </w:r>
      <w:r w:rsidRPr="00194740">
        <w:rPr>
          <w:rFonts w:ascii="Calibri" w:hAnsi="Calibri"/>
          <w:noProof/>
          <w:color w:val="auto"/>
          <w:sz w:val="18"/>
          <w:vertAlign w:val="superscript"/>
          <w:lang w:val="en-GB"/>
        </w:rPr>
        <w:footnoteReference w:id="16"/>
      </w:r>
      <w:r w:rsidRPr="00194740">
        <w:rPr>
          <w:rFonts w:ascii="Calibri" w:hAnsi="Calibri"/>
          <w:noProof/>
          <w:color w:val="auto"/>
          <w:lang w:val="en-GB"/>
        </w:rPr>
        <w:t xml:space="preserve"> However in some instance Indonesia states are permitted by law to restrict the freedom to manifest religion or belief in order to protect and maintain public order and others’ fundamental rights and freedom.</w:t>
      </w:r>
      <w:r w:rsidRPr="00194740">
        <w:rPr>
          <w:rFonts w:ascii="Calibri" w:eastAsia="MS Mincho" w:hAnsi="Calibri"/>
          <w:noProof/>
          <w:color w:val="auto"/>
          <w:vertAlign w:val="superscript"/>
          <w:lang w:val="en-GB"/>
        </w:rPr>
        <w:footnoteReference w:id="17"/>
      </w:r>
      <w:r w:rsidRPr="00194740">
        <w:rPr>
          <w:rFonts w:ascii="Calibri" w:hAnsi="Calibri"/>
          <w:noProof/>
          <w:color w:val="auto"/>
          <w:lang w:val="en-GB"/>
        </w:rPr>
        <w:t xml:space="preserve"> See page 12 for more information on which conventions Indonesia has adopted. </w:t>
      </w:r>
    </w:p>
    <w:p w14:paraId="3602BD03"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Religious Minority:</w:t>
      </w:r>
    </w:p>
    <w:p w14:paraId="2219FB53"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 xml:space="preserve">In Indonesia there are six conventional religions approved by the government. Members of religious minority groups are potentially at risk of not receiving the protection afforded by international human right treaties which should be upheld by governments. This protection includes the right to non-discrimination based on religion and the right to freedom of religion which promotes equality and non-discrimination on any grounds such as sex, race, colour, language and religion. Thus, freedom of religion shall apply also to persons belonging to religious minorities. Article 27 of the ICCPR preserves that, </w:t>
      </w:r>
    </w:p>
    <w:p w14:paraId="59CB73D2" w14:textId="77777777" w:rsidR="00194740" w:rsidRPr="00194740" w:rsidRDefault="00194740" w:rsidP="00194740">
      <w:pPr>
        <w:spacing w:after="120"/>
        <w:ind w:left="720"/>
        <w:rPr>
          <w:rFonts w:ascii="Calibri" w:hAnsi="Calibri"/>
          <w:i/>
          <w:noProof/>
          <w:color w:val="auto"/>
          <w:lang w:val="en-GB"/>
        </w:rPr>
      </w:pPr>
      <w:r w:rsidRPr="00194740">
        <w:rPr>
          <w:rFonts w:ascii="Calibri" w:hAnsi="Calibri"/>
          <w:i/>
          <w:noProof/>
          <w:color w:val="auto"/>
          <w:lang w:val="en-GB"/>
        </w:rPr>
        <w:t>“[...] in those States in which ethnic, religious or linguistic minorities exist, persons belonging to such minorities shall not be denied the right, in community with the other members of their group, to enjoy their own culture, to profess and practise their own religion, or to use their own language.”</w:t>
      </w:r>
    </w:p>
    <w:p w14:paraId="6D2722DE"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 xml:space="preserve">Among others human rights treaties, it is only the ICCPR that provides specific provision on the rights of </w:t>
      </w:r>
      <w:r w:rsidRPr="00194740">
        <w:rPr>
          <w:rFonts w:ascii="Calibri" w:hAnsi="Calibri"/>
          <w:noProof/>
          <w:color w:val="auto"/>
          <w:lang w:val="en-GB"/>
        </w:rPr>
        <w:lastRenderedPageBreak/>
        <w:t>minorities, particularly the rights of members of minorities.</w:t>
      </w:r>
      <w:r w:rsidRPr="00194740">
        <w:rPr>
          <w:rFonts w:ascii="Calibri" w:eastAsia="MS Mincho" w:hAnsi="Calibri"/>
          <w:noProof/>
          <w:color w:val="auto"/>
          <w:vertAlign w:val="superscript"/>
          <w:lang w:val="en-GB"/>
        </w:rPr>
        <w:footnoteReference w:id="18"/>
      </w:r>
      <w:r w:rsidRPr="00194740">
        <w:rPr>
          <w:rFonts w:ascii="Calibri" w:hAnsi="Calibri"/>
          <w:noProof/>
          <w:color w:val="auto"/>
          <w:lang w:val="en-GB"/>
        </w:rPr>
        <w:t xml:space="preserve"> </w:t>
      </w:r>
    </w:p>
    <w:p w14:paraId="117187DA"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International provisions guarantee the right to freedom of religion or belief to everyone, including to religious minorities as minority rights are ‘special rights’ and it is clear that equality is not always able to provide a sufficient protection against discrimination.</w:t>
      </w:r>
      <w:r w:rsidRPr="00194740">
        <w:rPr>
          <w:rFonts w:ascii="Calibri" w:eastAsia="MS Mincho" w:hAnsi="Calibri"/>
          <w:noProof/>
          <w:color w:val="auto"/>
          <w:vertAlign w:val="superscript"/>
          <w:lang w:val="en-GB"/>
        </w:rPr>
        <w:footnoteReference w:id="19"/>
      </w:r>
      <w:r w:rsidRPr="00194740">
        <w:rPr>
          <w:rFonts w:ascii="Calibri" w:hAnsi="Calibri"/>
          <w:noProof/>
          <w:color w:val="auto"/>
          <w:lang w:val="en-GB"/>
        </w:rPr>
        <w:t xml:space="preserve"> States like Indonesia are challenged by plurality within their territories, thus it is important to be able to accommodate the right to freedom of thought, conscience and religion under the platform of international human right law.</w:t>
      </w:r>
    </w:p>
    <w:p w14:paraId="4B756A92"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Discrimination based on Religion or Belief:</w:t>
      </w:r>
    </w:p>
    <w:p w14:paraId="72863B9A"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 this research we focus on religious discrimination only, which the United Nations defines as:</w:t>
      </w:r>
    </w:p>
    <w:p w14:paraId="22A9779C" w14:textId="77777777" w:rsidR="00194740" w:rsidRPr="00194740" w:rsidRDefault="00194740" w:rsidP="00194740">
      <w:pPr>
        <w:spacing w:after="120"/>
        <w:ind w:left="720"/>
        <w:rPr>
          <w:rFonts w:ascii="Calibri" w:hAnsi="Calibri"/>
          <w:noProof/>
          <w:color w:val="auto"/>
          <w:lang w:val="en-GB"/>
        </w:rPr>
      </w:pPr>
      <w:r w:rsidRPr="00194740">
        <w:rPr>
          <w:rFonts w:ascii="Calibri" w:hAnsi="Calibri"/>
          <w:noProof/>
          <w:color w:val="auto"/>
          <w:lang w:val="en-GB"/>
        </w:rPr>
        <w:t xml:space="preserve"> “[…] </w:t>
      </w:r>
      <w:r w:rsidRPr="00194740">
        <w:rPr>
          <w:rFonts w:ascii="Calibri" w:hAnsi="Calibri"/>
          <w:i/>
          <w:noProof/>
          <w:color w:val="auto"/>
          <w:lang w:val="en-GB"/>
        </w:rPr>
        <w:t>Any distinction, exclusion or restriction based on religious origin which is limiting the religious minority in their access to public services and protection. Even in extremer cases when it leads to being arrested, violent attacks towards the religious minority group or killed due to their religious belief”.</w:t>
      </w:r>
      <w:r w:rsidRPr="00194740">
        <w:rPr>
          <w:rFonts w:ascii="Calibri" w:hAnsi="Calibri"/>
          <w:i/>
          <w:noProof/>
          <w:color w:val="auto"/>
          <w:sz w:val="18"/>
          <w:vertAlign w:val="superscript"/>
          <w:lang w:val="en-GB"/>
        </w:rPr>
        <w:footnoteReference w:id="20"/>
      </w:r>
    </w:p>
    <w:p w14:paraId="5A5E6E77"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Violence</w:t>
      </w:r>
    </w:p>
    <w:p w14:paraId="73C0C06A"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Types of violence experienced by the Ahmadis in Indonesia include:</w:t>
      </w:r>
    </w:p>
    <w:p w14:paraId="44A2A602"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Hate speech: There is no universally agreed definition of hate speech so for this research we define it as: the intention of inciting and provoking hatred toward individuals and/or groups in the community on account of their ethnicity, religion, religious sect, faith or belief, race, class, skin colour, gender, disability, or sexual orientation.</w:t>
      </w:r>
      <w:r w:rsidRPr="00194740">
        <w:rPr>
          <w:rFonts w:ascii="Calibri" w:eastAsia="Calibri" w:hAnsi="Calibri"/>
          <w:iCs/>
          <w:color w:val="auto"/>
          <w:szCs w:val="24"/>
          <w:vertAlign w:val="superscript"/>
          <w:lang w:val="en-AU" w:eastAsia="en-AU"/>
        </w:rPr>
        <w:footnoteReference w:id="21"/>
      </w:r>
    </w:p>
    <w:p w14:paraId="2EC76C2D"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Burning of worship places: This threat is often made towards Ahmadis. See intimidation.</w:t>
      </w:r>
    </w:p>
    <w:p w14:paraId="338DBED5"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Harassment/intimidation: Deliberate behaviours to intimidate and degrade others, often intended as a means of forcing them out of the community, organization or group.</w:t>
      </w:r>
    </w:p>
    <w:p w14:paraId="5FDECBF7"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Physical abuse: Physical violence or attacks in the form of punching, kicking, biting and other forms of fighting causing physical pain.</w:t>
      </w:r>
    </w:p>
    <w:p w14:paraId="0143B3BA"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Mental abuse: Combination of verbally expressed hatred, bullying and threats. Although this can be done in any place, just like hate speech, this kind of abuse more often takes place on social media or in the online sphere.</w:t>
      </w:r>
    </w:p>
    <w:p w14:paraId="1D5296C0"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Eviction: Officially or forcefully expelling or denying right of entrance or presence in a place, social group, profession or any place where group activity occurs, including those upon which survival depends, such as places of worship or shelter.</w:t>
      </w:r>
    </w:p>
    <w:p w14:paraId="046E15BA" w14:textId="77777777" w:rsidR="00194740" w:rsidRPr="00194740" w:rsidRDefault="00194740" w:rsidP="00194740">
      <w:pPr>
        <w:widowControl/>
        <w:tabs>
          <w:tab w:val="num" w:pos="964"/>
          <w:tab w:val="num" w:pos="1928"/>
        </w:tabs>
        <w:autoSpaceDE/>
        <w:autoSpaceDN/>
        <w:adjustRightInd/>
        <w:spacing w:after="120"/>
        <w:ind w:left="964" w:hanging="397"/>
        <w:rPr>
          <w:rFonts w:ascii="Calibri" w:eastAsia="Calibri" w:hAnsi="Calibri"/>
          <w:iCs/>
          <w:color w:val="auto"/>
          <w:szCs w:val="24"/>
          <w:lang w:val="en-AU" w:eastAsia="en-AU"/>
        </w:rPr>
      </w:pPr>
      <w:r w:rsidRPr="00194740">
        <w:rPr>
          <w:rFonts w:ascii="Calibri" w:eastAsia="Calibri" w:hAnsi="Calibri"/>
          <w:iCs/>
          <w:color w:val="auto"/>
          <w:szCs w:val="24"/>
          <w:lang w:val="en-AU" w:eastAsia="en-AU"/>
        </w:rPr>
        <w:t>Exclusion: Denying possibilities to meet fundamental needs and/or participate fully in the society, as in particular community activities. In this research, fundamental needs are described as: access to social services (like education, health, getting legal documents and police support).</w:t>
      </w:r>
    </w:p>
    <w:p w14:paraId="0E44349D" w14:textId="77777777" w:rsidR="00194740" w:rsidRPr="00194740" w:rsidRDefault="00194740" w:rsidP="00194740">
      <w:pPr>
        <w:widowControl/>
        <w:autoSpaceDE/>
        <w:autoSpaceDN/>
        <w:adjustRightInd/>
        <w:spacing w:after="120"/>
        <w:rPr>
          <w:rFonts w:ascii="Calibri" w:eastAsia="Calibri" w:hAnsi="Calibri"/>
          <w:iCs/>
          <w:color w:val="auto"/>
          <w:szCs w:val="24"/>
          <w:lang w:val="en-AU" w:eastAsia="en-AU"/>
        </w:rPr>
      </w:pPr>
    </w:p>
    <w:p w14:paraId="69A3110F"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Background</w:t>
      </w:r>
    </w:p>
    <w:p w14:paraId="2FD2607A" w14:textId="77777777" w:rsidR="00194740" w:rsidRPr="00194740" w:rsidRDefault="00194740" w:rsidP="00194740">
      <w:pPr>
        <w:keepNext/>
        <w:spacing w:before="180" w:after="180" w:line="360" w:lineRule="exact"/>
        <w:contextualSpacing/>
        <w:jc w:val="left"/>
        <w:outlineLvl w:val="1"/>
        <w:rPr>
          <w:rFonts w:ascii="Cambria" w:eastAsia="MS Gothic" w:hAnsi="Cambria"/>
          <w:bCs/>
          <w:i/>
          <w:iCs/>
          <w:noProof/>
          <w:color w:val="auto"/>
          <w:spacing w:val="10"/>
          <w:kern w:val="32"/>
          <w:sz w:val="32"/>
          <w:szCs w:val="28"/>
          <w:shd w:val="clear" w:color="auto" w:fill="FFFFFF"/>
        </w:rPr>
      </w:pPr>
      <w:r w:rsidRPr="00194740">
        <w:rPr>
          <w:rFonts w:ascii="Cambria" w:eastAsia="MS Gothic" w:hAnsi="Cambria"/>
          <w:bCs/>
          <w:i/>
          <w:iCs/>
          <w:noProof/>
          <w:color w:val="auto"/>
          <w:spacing w:val="10"/>
          <w:kern w:val="32"/>
          <w:sz w:val="32"/>
          <w:szCs w:val="28"/>
          <w:shd w:val="clear" w:color="auto" w:fill="FFFFFF"/>
        </w:rPr>
        <w:t>Ahmadiyya in Indonesia</w:t>
      </w:r>
    </w:p>
    <w:p w14:paraId="34CBF965" w14:textId="77777777" w:rsidR="00194740" w:rsidRPr="00194740" w:rsidRDefault="00194740" w:rsidP="00194740">
      <w:pPr>
        <w:spacing w:after="120"/>
        <w:rPr>
          <w:rFonts w:ascii="Calibri" w:hAnsi="Calibri"/>
          <w:color w:val="auto"/>
        </w:rPr>
      </w:pPr>
      <w:r w:rsidRPr="00194740">
        <w:rPr>
          <w:rFonts w:ascii="Calibri" w:hAnsi="Calibri"/>
          <w:color w:val="auto"/>
        </w:rPr>
        <w:t>Ahmadiyya is a religious movement founded in Punjab in India in 1889 by Mirza Ghulam Ahmad. It emerged as a splinter group from Sunni Islam, and is a reformist Islamic movement adapted to reflect the circumstances at the time of its creation. The group split in two factions in 1914, with the larger of the two groups believing the Ahmadiyya founder to be a prophet, subordinate to Muhammad, and the Qur’an to be the final message of God for mankind.</w:t>
      </w:r>
      <w:r w:rsidRPr="00194740">
        <w:rPr>
          <w:rFonts w:ascii="Calibri" w:hAnsi="Calibri"/>
          <w:color w:val="auto"/>
          <w:sz w:val="18"/>
          <w:vertAlign w:val="superscript"/>
        </w:rPr>
        <w:footnoteReference w:id="22"/>
      </w:r>
      <w:r w:rsidRPr="00194740">
        <w:rPr>
          <w:rFonts w:ascii="Calibri" w:hAnsi="Calibri"/>
          <w:color w:val="auto"/>
        </w:rPr>
        <w:t xml:space="preserve"> The majority of Indonesian Ahmadis follow this faction, after the movement was brought to the country in 1925 by two preachers. The number of current supporters is widely disputed, but believed to number between 100,000 to 300,000. </w:t>
      </w:r>
    </w:p>
    <w:p w14:paraId="102B5FB3" w14:textId="77777777" w:rsidR="00194740" w:rsidRPr="00194740" w:rsidRDefault="00194740" w:rsidP="00194740">
      <w:pPr>
        <w:spacing w:after="120"/>
        <w:rPr>
          <w:rFonts w:ascii="Calibri" w:hAnsi="Calibri"/>
          <w:color w:val="auto"/>
        </w:rPr>
      </w:pPr>
      <w:r w:rsidRPr="00194740">
        <w:rPr>
          <w:rFonts w:ascii="Calibri" w:hAnsi="Calibri"/>
          <w:color w:val="auto"/>
        </w:rPr>
        <w:t xml:space="preserve">Despite being labelled a ‘deviant’ sect by Indonesia’s main Muslim organizations in 1929, in its early years the community experienced relative peace. The organization was declared lawful by the government in 1953. The turning point in the treatment of the Ahmadiyya was the fall of the Suharto regime in 1998, which precipitated a renegotiation of the role of Islam in society, and the government. The prohibitions on religious expression enforced during the Suharto era were removed and a number of radical Muslim groups and religious movements forbidden under Suharto came to prominence. Accompanied by a transition to a system of democratic governance, Muslim groups believed their position as the religion of the majority of Indonesians enabled them to demand a greater role for Islam in society and exert greater influence. It was in the pursuit of this that groups seen to detract from the creation of a truly Islamic state- such as the Ahmadiyya- were subjected to persecution. </w:t>
      </w:r>
    </w:p>
    <w:p w14:paraId="6B031EDB" w14:textId="77777777" w:rsidR="00194740" w:rsidRPr="00194740" w:rsidRDefault="00194740" w:rsidP="00194740">
      <w:pPr>
        <w:spacing w:after="120"/>
        <w:rPr>
          <w:rFonts w:ascii="Calibri" w:hAnsi="Calibri"/>
          <w:color w:val="FF0000"/>
        </w:rPr>
      </w:pPr>
      <w:r w:rsidRPr="00194740">
        <w:rPr>
          <w:rFonts w:ascii="Calibri" w:hAnsi="Calibri"/>
          <w:color w:val="auto"/>
        </w:rPr>
        <w:t xml:space="preserve">Since this time successive governments have not sought to challenge the persecution of the Ahmadis and to varying degrees have enabled this to occur. Whether this be for political or ideological reasons, governments have been aligned with hard-line Muslims, such as those in the </w:t>
      </w:r>
      <w:proofErr w:type="spellStart"/>
      <w:r w:rsidRPr="00194740">
        <w:rPr>
          <w:rFonts w:ascii="Calibri" w:hAnsi="Calibri"/>
          <w:color w:val="auto"/>
        </w:rPr>
        <w:t>Majelis</w:t>
      </w:r>
      <w:proofErr w:type="spellEnd"/>
      <w:r w:rsidRPr="00194740">
        <w:rPr>
          <w:rFonts w:ascii="Calibri" w:hAnsi="Calibri"/>
          <w:color w:val="auto"/>
        </w:rPr>
        <w:t xml:space="preserve"> Ulama Indonesia (MUI), who encourage and promote persecution. In 1980 the MUI issued a fatwa declaring the Ahmadiyya community an errant sect and encouraged violence, persecution and discrimination of its followers.</w:t>
      </w:r>
      <w:r w:rsidRPr="00194740">
        <w:rPr>
          <w:rFonts w:ascii="Calibri" w:hAnsi="Calibri"/>
          <w:color w:val="auto"/>
          <w:sz w:val="18"/>
          <w:vertAlign w:val="superscript"/>
        </w:rPr>
        <w:footnoteReference w:id="23"/>
      </w:r>
      <w:r w:rsidRPr="00194740">
        <w:rPr>
          <w:rFonts w:ascii="Calibri" w:hAnsi="Calibri"/>
          <w:color w:val="auto"/>
        </w:rPr>
        <w:t xml:space="preserve"> This was republished in 2005. At both the national and local government levels, there are examples of support for these discriminatory practices. Read more on these practices on page 14 and on MUI on page 16.</w:t>
      </w:r>
    </w:p>
    <w:p w14:paraId="71C3A6AD" w14:textId="77777777" w:rsidR="00194740" w:rsidRPr="00194740" w:rsidRDefault="00194740" w:rsidP="00194740">
      <w:pPr>
        <w:spacing w:after="120"/>
        <w:rPr>
          <w:rFonts w:ascii="Calibri" w:hAnsi="Calibri"/>
          <w:color w:val="auto"/>
        </w:rPr>
      </w:pPr>
      <w:r w:rsidRPr="00194740">
        <w:rPr>
          <w:rFonts w:ascii="Calibri" w:hAnsi="Calibri"/>
          <w:color w:val="auto"/>
        </w:rPr>
        <w:t xml:space="preserve">There are numerous minority religious groups in Indonesia, but not all experience persecution and discrimination to the same extent as the Ahmadiyya. </w:t>
      </w:r>
      <w:proofErr w:type="spellStart"/>
      <w:r w:rsidRPr="00194740">
        <w:rPr>
          <w:rFonts w:ascii="Calibri" w:hAnsi="Calibri"/>
          <w:color w:val="auto"/>
        </w:rPr>
        <w:t>Najib</w:t>
      </w:r>
      <w:proofErr w:type="spellEnd"/>
      <w:r w:rsidRPr="00194740">
        <w:rPr>
          <w:rFonts w:ascii="Calibri" w:hAnsi="Calibri"/>
          <w:color w:val="auto"/>
        </w:rPr>
        <w:t xml:space="preserve"> </w:t>
      </w:r>
      <w:proofErr w:type="spellStart"/>
      <w:r w:rsidRPr="00194740">
        <w:rPr>
          <w:rFonts w:ascii="Calibri" w:hAnsi="Calibri"/>
          <w:color w:val="auto"/>
        </w:rPr>
        <w:t>Burhani</w:t>
      </w:r>
      <w:proofErr w:type="spellEnd"/>
      <w:r w:rsidRPr="00194740">
        <w:rPr>
          <w:rFonts w:ascii="Calibri" w:hAnsi="Calibri"/>
          <w:color w:val="auto"/>
        </w:rPr>
        <w:t xml:space="preserve"> argues that it is both the “nearness and remoteness” of the Ahmadiyya to mainstream Islam that make them so open to persecution from other Muslims. In their similar religious roots, practices and values, the Ahmadiyya are closely aligned with other Muslims, and the groups displays elements of familiarity. It is the variations in their faith, the ‘remoteness’, which forms the basis of the claims of heresy.  These fundamental differences are encompassed in three primary issues:</w:t>
      </w:r>
    </w:p>
    <w:p w14:paraId="79DE2312" w14:textId="77777777" w:rsidR="00194740" w:rsidRPr="00194740" w:rsidRDefault="00194740" w:rsidP="00194740">
      <w:pPr>
        <w:numPr>
          <w:ilvl w:val="0"/>
          <w:numId w:val="24"/>
        </w:numPr>
        <w:spacing w:after="120"/>
        <w:rPr>
          <w:rFonts w:ascii="Calibri" w:hAnsi="Calibri"/>
          <w:noProof/>
          <w:color w:val="auto"/>
        </w:rPr>
      </w:pPr>
      <w:r w:rsidRPr="00194740">
        <w:rPr>
          <w:rFonts w:ascii="Calibri" w:hAnsi="Calibri"/>
          <w:noProof/>
          <w:color w:val="auto"/>
        </w:rPr>
        <w:t>The belief that the founder of the Ahmadiyya, Mirza Ghulam Ahmad, is a prophet and the Messiah;</w:t>
      </w:r>
    </w:p>
    <w:p w14:paraId="59F45CDA" w14:textId="77777777" w:rsidR="00194740" w:rsidRPr="00194740" w:rsidRDefault="00194740" w:rsidP="00194740">
      <w:pPr>
        <w:numPr>
          <w:ilvl w:val="0"/>
          <w:numId w:val="24"/>
        </w:numPr>
        <w:spacing w:after="120"/>
        <w:rPr>
          <w:rFonts w:ascii="Calibri" w:hAnsi="Calibri"/>
          <w:noProof/>
          <w:color w:val="auto"/>
        </w:rPr>
      </w:pPr>
      <w:r w:rsidRPr="00194740">
        <w:rPr>
          <w:rFonts w:ascii="Calibri" w:hAnsi="Calibri"/>
          <w:noProof/>
          <w:color w:val="auto"/>
        </w:rPr>
        <w:lastRenderedPageBreak/>
        <w:t>The Ahmadiyya interpretation of the Qur’an differs from the standard interpretation; and</w:t>
      </w:r>
    </w:p>
    <w:p w14:paraId="0E9B0605" w14:textId="77777777" w:rsidR="00194740" w:rsidRPr="00194740" w:rsidRDefault="00194740" w:rsidP="00194740">
      <w:pPr>
        <w:numPr>
          <w:ilvl w:val="0"/>
          <w:numId w:val="24"/>
        </w:numPr>
        <w:spacing w:after="120"/>
        <w:rPr>
          <w:rFonts w:ascii="Calibri" w:hAnsi="Calibri"/>
          <w:noProof/>
          <w:color w:val="auto"/>
        </w:rPr>
      </w:pPr>
      <w:r w:rsidRPr="00194740">
        <w:rPr>
          <w:rFonts w:ascii="Calibri" w:hAnsi="Calibri"/>
          <w:noProof/>
          <w:color w:val="auto"/>
        </w:rPr>
        <w:t>The interpretation of their duty of jihad is adapted to jihad of the ‘pen’.</w:t>
      </w:r>
      <w:r w:rsidRPr="00194740">
        <w:rPr>
          <w:rFonts w:ascii="Calibri" w:hAnsi="Calibri"/>
          <w:noProof/>
          <w:color w:val="auto"/>
          <w:sz w:val="18"/>
          <w:vertAlign w:val="superscript"/>
        </w:rPr>
        <w:footnoteReference w:id="24"/>
      </w:r>
      <w:r w:rsidRPr="00194740">
        <w:rPr>
          <w:rFonts w:ascii="Calibri" w:hAnsi="Calibri"/>
          <w:noProof/>
          <w:color w:val="auto"/>
        </w:rPr>
        <w:t xml:space="preserve"> </w:t>
      </w:r>
    </w:p>
    <w:p w14:paraId="6C4293BA" w14:textId="77777777" w:rsidR="00194740" w:rsidRPr="00194740" w:rsidRDefault="00194740" w:rsidP="00194740">
      <w:pPr>
        <w:spacing w:after="120"/>
        <w:rPr>
          <w:rFonts w:ascii="Calibri" w:hAnsi="Calibri"/>
          <w:color w:val="auto"/>
        </w:rPr>
      </w:pPr>
      <w:r w:rsidRPr="00194740">
        <w:rPr>
          <w:rFonts w:ascii="Calibri" w:hAnsi="Calibri"/>
          <w:color w:val="auto"/>
        </w:rPr>
        <w:t xml:space="preserve">These differences are perceived as threatening to mainstream Muslims.  Hardliners believe that heretics such as the Ahmadiyya are trying to propagate their beliefs and convert other Muslims, threatening to split Islam into factions. In response, hardliners seek to prevent the growth and potential domination of the Ahmadiyya, an argument which is used to justify the actions of the anti-Ahmadiyya movement. It is through this challenge to Islam that has seen greater animosity from Indonesian Muslims to Ahmadiyya than to non-Muslims. </w:t>
      </w:r>
    </w:p>
    <w:p w14:paraId="512A4353" w14:textId="77777777" w:rsidR="00194740" w:rsidRPr="00194740" w:rsidRDefault="00194740" w:rsidP="00194740">
      <w:pPr>
        <w:spacing w:after="0" w:line="240" w:lineRule="auto"/>
        <w:rPr>
          <w:rFonts w:ascii="Calibri" w:hAnsi="Calibri"/>
          <w:color w:val="auto"/>
        </w:rPr>
      </w:pPr>
      <w:r w:rsidRPr="00194740">
        <w:rPr>
          <w:rFonts w:ascii="Calibri" w:hAnsi="Calibri"/>
          <w:noProof/>
          <w:color w:val="auto"/>
          <w:lang w:val="en-GB"/>
        </w:rPr>
        <w:t>There is no universal experience of Ahmadis in Indonesia, and their situation depends principally on the attitudes of their surrounding communities. There are examples where Ahmadiyya exist in the community- if not accepted, tolerated. Other experiences generally appear along a spectrum ranging from indifference, to intolerance, to violent persecution.  However, at a national level, a decree issued in June 2008 from the Ministry of Religion, the Ministry of Internal Affairs, and the Attorney General’s Office forbids the Ahmadiyya from giving what is considered ‘deviant’ interpretations of Islamic teachings, and proselytizing their beliefs. It does not forbid them to privately practice their religion. This inspired a number of restrictive interpretations at a district and provincial level including that Ahmadiyya signboards and symbols could not be displayed, and has resulted in the destruction of some mosques, perceived as a public promotion of the Ahmadiyya faith. This government response to the Ahmadiyya situation has not been to punish the persecutors, rather to</w:t>
      </w:r>
      <w:r w:rsidRPr="00194740">
        <w:rPr>
          <w:rFonts w:ascii="Calibri" w:hAnsi="Calibri"/>
          <w:color w:val="auto"/>
        </w:rPr>
        <w:t xml:space="preserve"> restrict the Ahmadiyya. For example, Ahmadiyya communities have been requested to cease worshipping in order to maintain security and order, in response to concerns about the possibility of attacks against the community. One alternative would be to prosecute those responsible for conducting the attacks against the Ahmadis. </w:t>
      </w:r>
    </w:p>
    <w:p w14:paraId="5D65B1A0" w14:textId="77777777" w:rsidR="00194740" w:rsidRPr="00194740" w:rsidRDefault="00194740" w:rsidP="00194740">
      <w:pPr>
        <w:spacing w:after="0" w:line="240" w:lineRule="auto"/>
        <w:jc w:val="left"/>
        <w:rPr>
          <w:rFonts w:ascii="Calibri" w:hAnsi="Calibri"/>
          <w:color w:val="auto"/>
        </w:rPr>
      </w:pPr>
    </w:p>
    <w:p w14:paraId="215C253D" w14:textId="77777777" w:rsidR="00194740" w:rsidRPr="00194740" w:rsidRDefault="00194740" w:rsidP="00194740">
      <w:pPr>
        <w:spacing w:after="120"/>
        <w:rPr>
          <w:rFonts w:ascii="Calibri" w:hAnsi="Calibri"/>
          <w:color w:val="auto"/>
        </w:rPr>
      </w:pPr>
      <w:r w:rsidRPr="00194740">
        <w:rPr>
          <w:rFonts w:ascii="Calibri" w:hAnsi="Calibri"/>
          <w:color w:val="auto"/>
        </w:rPr>
        <w:t>At an individual level Ahmadiyya are persecuted by the state when they are denied basic rights such as access to health and education.  In some provinces, including West Lombok, there have been reports of some individuals being denied identification cards by their local government, because ‘Ahmadiyya’ is not categorized as one of the six official religions of the state (as it is not considered by some to be a sect of Islam). In January 2016 reports emerged that Ahmadiyya living in Bangka Island were told to convert to Sunni Islam, or they would be forced to move off the island.</w:t>
      </w:r>
      <w:r w:rsidRPr="00194740">
        <w:rPr>
          <w:rFonts w:ascii="Calibri" w:hAnsi="Calibri"/>
          <w:color w:val="auto"/>
          <w:sz w:val="18"/>
          <w:vertAlign w:val="superscript"/>
        </w:rPr>
        <w:footnoteReference w:id="25"/>
      </w:r>
      <w:r w:rsidRPr="00194740">
        <w:rPr>
          <w:rFonts w:ascii="Calibri" w:hAnsi="Calibri"/>
          <w:color w:val="auto"/>
        </w:rPr>
        <w:t xml:space="preserve"> In addition, since their houses and mosque were burned in 2006, 139 Ahmadis were reportedly living in </w:t>
      </w:r>
      <w:proofErr w:type="spellStart"/>
      <w:r w:rsidRPr="00194740">
        <w:rPr>
          <w:rFonts w:ascii="Calibri" w:hAnsi="Calibri"/>
          <w:color w:val="auto"/>
        </w:rPr>
        <w:t>Asrama</w:t>
      </w:r>
      <w:proofErr w:type="spellEnd"/>
      <w:r w:rsidRPr="00194740">
        <w:rPr>
          <w:rFonts w:ascii="Calibri" w:hAnsi="Calibri"/>
          <w:color w:val="auto"/>
        </w:rPr>
        <w:t xml:space="preserve"> </w:t>
      </w:r>
      <w:proofErr w:type="spellStart"/>
      <w:r w:rsidRPr="00194740">
        <w:rPr>
          <w:rFonts w:ascii="Calibri" w:hAnsi="Calibri"/>
          <w:color w:val="auto"/>
        </w:rPr>
        <w:t>Transito</w:t>
      </w:r>
      <w:proofErr w:type="spellEnd"/>
      <w:r w:rsidRPr="00194740">
        <w:rPr>
          <w:rFonts w:ascii="Calibri" w:hAnsi="Calibri"/>
          <w:color w:val="auto"/>
        </w:rPr>
        <w:t>, a refugee-like camp in Nusa Tenggara Barat.</w:t>
      </w:r>
      <w:r w:rsidRPr="00194740">
        <w:rPr>
          <w:rFonts w:ascii="Calibri" w:hAnsi="Calibri"/>
          <w:color w:val="auto"/>
          <w:sz w:val="18"/>
          <w:vertAlign w:val="superscript"/>
        </w:rPr>
        <w:footnoteReference w:id="26"/>
      </w:r>
    </w:p>
    <w:p w14:paraId="670D4E07" w14:textId="77777777" w:rsidR="00194740" w:rsidRPr="00194740" w:rsidRDefault="00194740" w:rsidP="00194740">
      <w:pPr>
        <w:spacing w:after="120"/>
        <w:rPr>
          <w:rFonts w:ascii="Calibri" w:hAnsi="Calibri"/>
          <w:color w:val="auto"/>
        </w:rPr>
      </w:pPr>
      <w:r w:rsidRPr="00194740">
        <w:rPr>
          <w:rFonts w:ascii="Calibri" w:hAnsi="Calibri"/>
          <w:color w:val="auto"/>
        </w:rPr>
        <w:t>Persecution of the Ahmadiyya is not confined to Indonesia. In Pakistan the government amended the constitution in 1974 to refer to Ahmadiyya as non-Muslim and in 1984 the penal code was amended to make it illegal for them to practice or promote their faith.</w:t>
      </w:r>
      <w:r w:rsidRPr="00194740">
        <w:rPr>
          <w:rFonts w:ascii="Calibri" w:hAnsi="Calibri"/>
          <w:color w:val="auto"/>
          <w:sz w:val="18"/>
          <w:vertAlign w:val="superscript"/>
        </w:rPr>
        <w:footnoteReference w:id="27"/>
      </w:r>
      <w:r w:rsidRPr="00194740">
        <w:rPr>
          <w:rFonts w:ascii="Calibri" w:hAnsi="Calibri"/>
          <w:color w:val="auto"/>
        </w:rPr>
        <w:t xml:space="preserve">  In addition, they are required to identify themselves as Ahmadiyya on national identification cards, which can lead to further persecution. This includes institutional and societal discrimination: in 2014, 24 individuals were charged under anti-Ahmadiyya laws, and a further 13 were charged with allegedly defiling the </w:t>
      </w:r>
      <w:proofErr w:type="spellStart"/>
      <w:r w:rsidRPr="00194740">
        <w:rPr>
          <w:rFonts w:ascii="Calibri" w:hAnsi="Calibri"/>
          <w:color w:val="auto"/>
        </w:rPr>
        <w:t>qu’ran</w:t>
      </w:r>
      <w:proofErr w:type="spellEnd"/>
      <w:r w:rsidRPr="00194740">
        <w:rPr>
          <w:rFonts w:ascii="Calibri" w:hAnsi="Calibri"/>
          <w:color w:val="auto"/>
        </w:rPr>
        <w:t>; while in the same year an anti-Ahmadiyya group organized a rally in which they called the killing of the Ahmadiyya a religious obligation.</w:t>
      </w:r>
      <w:r w:rsidRPr="00194740">
        <w:rPr>
          <w:rFonts w:ascii="Calibri" w:hAnsi="Calibri"/>
          <w:color w:val="auto"/>
          <w:sz w:val="18"/>
          <w:vertAlign w:val="superscript"/>
        </w:rPr>
        <w:footnoteReference w:id="28"/>
      </w:r>
      <w:r w:rsidRPr="00194740">
        <w:rPr>
          <w:rFonts w:ascii="Calibri" w:hAnsi="Calibri"/>
          <w:color w:val="auto"/>
        </w:rPr>
        <w:t xml:space="preserve"> </w:t>
      </w:r>
    </w:p>
    <w:p w14:paraId="04775D94" w14:textId="77777777" w:rsidR="00194740" w:rsidRPr="00194740" w:rsidRDefault="00194740" w:rsidP="00194740">
      <w:pPr>
        <w:keepNext/>
        <w:spacing w:before="180" w:after="180" w:line="360" w:lineRule="exact"/>
        <w:contextualSpacing/>
        <w:jc w:val="left"/>
        <w:outlineLvl w:val="1"/>
        <w:rPr>
          <w:rFonts w:ascii="Cambria" w:eastAsia="MS Gothic" w:hAnsi="Cambria"/>
          <w:bCs/>
          <w:i/>
          <w:iCs/>
          <w:noProof/>
          <w:color w:val="auto"/>
          <w:spacing w:val="10"/>
          <w:kern w:val="32"/>
          <w:sz w:val="32"/>
          <w:szCs w:val="28"/>
          <w:shd w:val="clear" w:color="auto" w:fill="FFFFFF"/>
          <w:lang w:val="en-GB"/>
        </w:rPr>
      </w:pPr>
      <w:r w:rsidRPr="00194740">
        <w:rPr>
          <w:rFonts w:ascii="Cambria" w:eastAsia="MS Gothic" w:hAnsi="Cambria"/>
          <w:bCs/>
          <w:i/>
          <w:iCs/>
          <w:noProof/>
          <w:color w:val="auto"/>
          <w:spacing w:val="10"/>
          <w:kern w:val="32"/>
          <w:sz w:val="32"/>
          <w:szCs w:val="28"/>
          <w:shd w:val="clear" w:color="auto" w:fill="FFFFFF"/>
          <w:lang w:val="en-GB"/>
        </w:rPr>
        <w:lastRenderedPageBreak/>
        <w:t>Treatment of religious minorities since 2006</w:t>
      </w:r>
    </w:p>
    <w:p w14:paraId="724DB3FB"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Prior to the appointment of Joko Widodo, locally known as Jokowi, as the president of Indonesia in October 2014, the role was performed by Susilo Bambang Yudhoyono. Yudhoyono held the role for 10 years and reportedly made limited progress on advancing human rights. According to Human Rights Watch, Yudhoyono failed to protect the rights of religious minorities from increasing intimidation, violence and discrimination. It was under his presidency that several laws were enforced that limited the rights of minority groups to freedom of religion. Violent attacks (with one example the death of three Ahmadis in 2011) and discrimination led the Setara Institute to conclude that the leadership period of President Yudhoyono represented a stagnation in freedom of religion.</w:t>
      </w:r>
    </w:p>
    <w:p w14:paraId="29FE8D62"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problems and issues of religious minorities in Indonesia seem to become an increasingly dangerous political strategy of populist leaders in Indonesia to gain support. Especially during elections, the tension against religious minorities rises. Many people in Indonesia see Jokowi as the hope for change. His tenure could be a new opportunity to put religious minority rights and protection back on the agenda, but in his first two years not much has changed in the situation of religious minorities or in the reaction of the government of incidents against minority groups.</w:t>
      </w:r>
    </w:p>
    <w:p w14:paraId="2582C357" w14:textId="77777777" w:rsidR="00194740" w:rsidRPr="00194740" w:rsidRDefault="00194740" w:rsidP="00194740">
      <w:pPr>
        <w:widowControl/>
        <w:autoSpaceDE/>
        <w:autoSpaceDN/>
        <w:adjustRightInd/>
        <w:spacing w:after="160" w:line="259" w:lineRule="auto"/>
        <w:rPr>
          <w:rFonts w:ascii="Calibri" w:eastAsia="Calibri" w:hAnsi="Calibri" w:cs="Arial"/>
          <w:b/>
          <w:bCs/>
          <w:color w:val="auto"/>
          <w:szCs w:val="22"/>
          <w:lang w:val="en-GB"/>
        </w:rPr>
      </w:pPr>
    </w:p>
    <w:tbl>
      <w:tblPr>
        <w:tblStyle w:val="FarsightTable1"/>
        <w:tblW w:w="0" w:type="auto"/>
        <w:tblInd w:w="2027" w:type="dxa"/>
        <w:tblLook w:val="04A0" w:firstRow="1" w:lastRow="0" w:firstColumn="1" w:lastColumn="0" w:noHBand="0" w:noVBand="1"/>
      </w:tblPr>
      <w:tblGrid>
        <w:gridCol w:w="1560"/>
        <w:gridCol w:w="1877"/>
      </w:tblGrid>
      <w:tr w:rsidR="00194740" w:rsidRPr="00194740" w14:paraId="705A123D" w14:textId="77777777" w:rsidTr="001947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248CB92C" w14:textId="77777777" w:rsidR="00194740" w:rsidRPr="00194740" w:rsidRDefault="00194740" w:rsidP="00194740">
            <w:pPr>
              <w:widowControl/>
              <w:autoSpaceDE/>
              <w:autoSpaceDN/>
              <w:adjustRightInd/>
              <w:spacing w:after="0" w:line="240" w:lineRule="auto"/>
              <w:jc w:val="center"/>
              <w:rPr>
                <w:rFonts w:ascii="Calibri" w:eastAsia="Calibri" w:hAnsi="Calibri" w:cs="Arial"/>
                <w:bCs/>
                <w:color w:val="auto"/>
                <w:szCs w:val="22"/>
                <w:lang w:val="en-GB"/>
              </w:rPr>
            </w:pPr>
            <w:r w:rsidRPr="00194740">
              <w:rPr>
                <w:rFonts w:ascii="Calibri" w:eastAsia="Calibri" w:hAnsi="Calibri" w:cs="Arial"/>
                <w:bCs/>
                <w:color w:val="auto"/>
                <w:szCs w:val="22"/>
                <w:lang w:val="en-GB"/>
              </w:rPr>
              <w:t>Year</w:t>
            </w:r>
          </w:p>
        </w:tc>
        <w:tc>
          <w:tcPr>
            <w:tcW w:w="1877" w:type="dxa"/>
            <w:shd w:val="clear" w:color="auto" w:fill="auto"/>
          </w:tcPr>
          <w:p w14:paraId="45A89B49" w14:textId="77777777" w:rsidR="00194740" w:rsidRPr="00194740" w:rsidRDefault="00194740" w:rsidP="00194740">
            <w:pPr>
              <w:widowControl/>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Cs/>
                <w:color w:val="auto"/>
                <w:szCs w:val="22"/>
                <w:lang w:val="en-GB"/>
              </w:rPr>
            </w:pPr>
            <w:r w:rsidRPr="00194740">
              <w:rPr>
                <w:rFonts w:ascii="Calibri" w:eastAsia="Calibri" w:hAnsi="Calibri" w:cs="Arial"/>
                <w:bCs/>
                <w:color w:val="auto"/>
                <w:szCs w:val="22"/>
                <w:lang w:val="en-GB"/>
              </w:rPr>
              <w:t>Incidents</w:t>
            </w:r>
          </w:p>
        </w:tc>
      </w:tr>
      <w:tr w:rsidR="00194740" w:rsidRPr="00194740" w14:paraId="6944B701" w14:textId="77777777" w:rsidTr="009F2F39">
        <w:tc>
          <w:tcPr>
            <w:cnfStyle w:val="001000000000" w:firstRow="0" w:lastRow="0" w:firstColumn="1" w:lastColumn="0" w:oddVBand="0" w:evenVBand="0" w:oddHBand="0" w:evenHBand="0" w:firstRowFirstColumn="0" w:firstRowLastColumn="0" w:lastRowFirstColumn="0" w:lastRowLastColumn="0"/>
            <w:tcW w:w="1560" w:type="dxa"/>
          </w:tcPr>
          <w:p w14:paraId="4A7A9C61"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2007</w:t>
            </w:r>
          </w:p>
        </w:tc>
        <w:tc>
          <w:tcPr>
            <w:tcW w:w="1877" w:type="dxa"/>
          </w:tcPr>
          <w:p w14:paraId="5CCE1692"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15</w:t>
            </w:r>
          </w:p>
        </w:tc>
      </w:tr>
      <w:tr w:rsidR="00194740" w:rsidRPr="00194740" w14:paraId="2FF3CAED"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0C2D84A6"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2008</w:t>
            </w:r>
          </w:p>
        </w:tc>
        <w:tc>
          <w:tcPr>
            <w:tcW w:w="1877" w:type="dxa"/>
            <w:shd w:val="clear" w:color="auto" w:fill="auto"/>
          </w:tcPr>
          <w:p w14:paraId="49467B44"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193</w:t>
            </w:r>
          </w:p>
        </w:tc>
      </w:tr>
      <w:tr w:rsidR="00194740" w:rsidRPr="00194740" w14:paraId="1D9E225C" w14:textId="77777777" w:rsidTr="009F2F39">
        <w:tc>
          <w:tcPr>
            <w:cnfStyle w:val="001000000000" w:firstRow="0" w:lastRow="0" w:firstColumn="1" w:lastColumn="0" w:oddVBand="0" w:evenVBand="0" w:oddHBand="0" w:evenHBand="0" w:firstRowFirstColumn="0" w:firstRowLastColumn="0" w:lastRowFirstColumn="0" w:lastRowLastColumn="0"/>
            <w:tcW w:w="1560" w:type="dxa"/>
          </w:tcPr>
          <w:p w14:paraId="36BCBD2A"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2009</w:t>
            </w:r>
          </w:p>
        </w:tc>
        <w:tc>
          <w:tcPr>
            <w:tcW w:w="1877" w:type="dxa"/>
          </w:tcPr>
          <w:p w14:paraId="01B1D0A6"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33</w:t>
            </w:r>
          </w:p>
        </w:tc>
      </w:tr>
      <w:tr w:rsidR="00194740" w:rsidRPr="00194740" w14:paraId="18D8B2F4"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5698E3C9"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2010</w:t>
            </w:r>
          </w:p>
        </w:tc>
        <w:tc>
          <w:tcPr>
            <w:tcW w:w="1877" w:type="dxa"/>
            <w:shd w:val="clear" w:color="auto" w:fill="auto"/>
          </w:tcPr>
          <w:p w14:paraId="426787FC"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50</w:t>
            </w:r>
          </w:p>
        </w:tc>
      </w:tr>
      <w:tr w:rsidR="00194740" w:rsidRPr="00194740" w14:paraId="54970A1F" w14:textId="77777777" w:rsidTr="009F2F39">
        <w:tc>
          <w:tcPr>
            <w:cnfStyle w:val="001000000000" w:firstRow="0" w:lastRow="0" w:firstColumn="1" w:lastColumn="0" w:oddVBand="0" w:evenVBand="0" w:oddHBand="0" w:evenHBand="0" w:firstRowFirstColumn="0" w:firstRowLastColumn="0" w:lastRowFirstColumn="0" w:lastRowLastColumn="0"/>
            <w:tcW w:w="1560" w:type="dxa"/>
          </w:tcPr>
          <w:p w14:paraId="4C55FD67"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2011</w:t>
            </w:r>
          </w:p>
        </w:tc>
        <w:tc>
          <w:tcPr>
            <w:tcW w:w="1877" w:type="dxa"/>
          </w:tcPr>
          <w:p w14:paraId="19E72C31"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114</w:t>
            </w:r>
          </w:p>
        </w:tc>
      </w:tr>
      <w:tr w:rsidR="00194740" w:rsidRPr="00194740" w14:paraId="4BA8BFB1"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416C3B8D"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2012</w:t>
            </w:r>
          </w:p>
        </w:tc>
        <w:tc>
          <w:tcPr>
            <w:tcW w:w="1877" w:type="dxa"/>
            <w:shd w:val="clear" w:color="auto" w:fill="auto"/>
          </w:tcPr>
          <w:p w14:paraId="70356676"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31</w:t>
            </w:r>
          </w:p>
        </w:tc>
      </w:tr>
      <w:tr w:rsidR="00194740" w:rsidRPr="00194740" w14:paraId="2200C7D5" w14:textId="77777777" w:rsidTr="009F2F39">
        <w:tc>
          <w:tcPr>
            <w:cnfStyle w:val="001000000000" w:firstRow="0" w:lastRow="0" w:firstColumn="1" w:lastColumn="0" w:oddVBand="0" w:evenVBand="0" w:oddHBand="0" w:evenHBand="0" w:firstRowFirstColumn="0" w:firstRowLastColumn="0" w:lastRowFirstColumn="0" w:lastRowLastColumn="0"/>
            <w:tcW w:w="1560" w:type="dxa"/>
          </w:tcPr>
          <w:p w14:paraId="23CEC8D6"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2013</w:t>
            </w:r>
          </w:p>
        </w:tc>
        <w:tc>
          <w:tcPr>
            <w:tcW w:w="1877" w:type="dxa"/>
          </w:tcPr>
          <w:p w14:paraId="4EFB83EC"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59</w:t>
            </w:r>
          </w:p>
        </w:tc>
      </w:tr>
      <w:tr w:rsidR="00194740" w:rsidRPr="00194740" w14:paraId="1FE8EA39"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12FEFAB7"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2014</w:t>
            </w:r>
          </w:p>
        </w:tc>
        <w:tc>
          <w:tcPr>
            <w:tcW w:w="1877" w:type="dxa"/>
            <w:shd w:val="clear" w:color="auto" w:fill="auto"/>
          </w:tcPr>
          <w:p w14:paraId="5AE50B21"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11</w:t>
            </w:r>
          </w:p>
        </w:tc>
      </w:tr>
      <w:tr w:rsidR="00194740" w:rsidRPr="00194740" w14:paraId="56D216B3" w14:textId="77777777" w:rsidTr="009F2F39">
        <w:tc>
          <w:tcPr>
            <w:cnfStyle w:val="001000000000" w:firstRow="0" w:lastRow="0" w:firstColumn="1" w:lastColumn="0" w:oddVBand="0" w:evenVBand="0" w:oddHBand="0" w:evenHBand="0" w:firstRowFirstColumn="0" w:firstRowLastColumn="0" w:lastRowFirstColumn="0" w:lastRowLastColumn="0"/>
            <w:tcW w:w="1560" w:type="dxa"/>
          </w:tcPr>
          <w:p w14:paraId="456E6280"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2015</w:t>
            </w:r>
          </w:p>
        </w:tc>
        <w:tc>
          <w:tcPr>
            <w:tcW w:w="1877" w:type="dxa"/>
          </w:tcPr>
          <w:p w14:paraId="36C5A184"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13</w:t>
            </w:r>
          </w:p>
        </w:tc>
      </w:tr>
      <w:tr w:rsidR="00194740" w:rsidRPr="00194740" w14:paraId="317597AB"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54BDB162"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Total</w:t>
            </w:r>
          </w:p>
        </w:tc>
        <w:tc>
          <w:tcPr>
            <w:tcW w:w="1877" w:type="dxa"/>
            <w:shd w:val="clear" w:color="auto" w:fill="auto"/>
          </w:tcPr>
          <w:p w14:paraId="0C4AED13"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b/>
                <w:color w:val="auto"/>
                <w:szCs w:val="22"/>
                <w:lang w:val="en-GB"/>
              </w:rPr>
            </w:pPr>
            <w:r w:rsidRPr="00194740">
              <w:rPr>
                <w:rFonts w:ascii="Calibri" w:eastAsia="Calibri" w:hAnsi="Calibri" w:cs="Arial"/>
                <w:b/>
                <w:color w:val="auto"/>
                <w:szCs w:val="22"/>
                <w:lang w:val="en-GB"/>
              </w:rPr>
              <w:t>519</w:t>
            </w:r>
          </w:p>
        </w:tc>
      </w:tr>
    </w:tbl>
    <w:p w14:paraId="07484395" w14:textId="77777777" w:rsidR="00194740" w:rsidRPr="00194740" w:rsidRDefault="00194740" w:rsidP="00194740">
      <w:pPr>
        <w:widowControl/>
        <w:autoSpaceDE/>
        <w:autoSpaceDN/>
        <w:adjustRightInd/>
        <w:spacing w:after="160" w:line="259" w:lineRule="auto"/>
        <w:ind w:left="1440" w:firstLine="720"/>
        <w:jc w:val="left"/>
        <w:rPr>
          <w:rFonts w:ascii="Calibri" w:eastAsia="Calibri" w:hAnsi="Calibri" w:cs="Arial"/>
          <w:color w:val="auto"/>
          <w:szCs w:val="22"/>
          <w:lang w:val="en-GB"/>
        </w:rPr>
      </w:pPr>
      <w:r w:rsidRPr="00194740">
        <w:rPr>
          <w:rFonts w:ascii="Calibri" w:eastAsia="Calibri" w:hAnsi="Calibri" w:cs="Arial"/>
          <w:color w:val="auto"/>
          <w:szCs w:val="22"/>
          <w:lang w:val="en-GB"/>
        </w:rPr>
        <w:t>Table 1: Number of incidents on Ahmadiyya community 2007-2015</w:t>
      </w:r>
      <w:r w:rsidRPr="00194740">
        <w:rPr>
          <w:rFonts w:ascii="Calibri" w:eastAsia="Calibri" w:hAnsi="Calibri" w:cs="Arial"/>
          <w:color w:val="auto"/>
          <w:sz w:val="18"/>
          <w:szCs w:val="22"/>
          <w:vertAlign w:val="superscript"/>
          <w:lang w:val="en-GB"/>
        </w:rPr>
        <w:footnoteReference w:id="29"/>
      </w:r>
    </w:p>
    <w:p w14:paraId="7A55510A" w14:textId="77777777" w:rsidR="00194740" w:rsidRPr="00194740" w:rsidRDefault="00194740" w:rsidP="00194740">
      <w:pPr>
        <w:widowControl/>
        <w:autoSpaceDE/>
        <w:autoSpaceDN/>
        <w:adjustRightInd/>
        <w:spacing w:after="160" w:line="259" w:lineRule="auto"/>
        <w:rPr>
          <w:rFonts w:ascii="Calibri" w:eastAsia="Calibri" w:hAnsi="Calibri" w:cs="Arial"/>
          <w:color w:val="auto"/>
          <w:szCs w:val="22"/>
          <w:lang w:val="en-GB"/>
        </w:rPr>
      </w:pPr>
      <w:r w:rsidRPr="00194740">
        <w:rPr>
          <w:rFonts w:ascii="Calibri" w:eastAsia="Calibri" w:hAnsi="Calibri" w:cs="Arial"/>
          <w:color w:val="auto"/>
          <w:szCs w:val="22"/>
          <w:lang w:val="en-GB"/>
        </w:rPr>
        <w:t>I</w:t>
      </w:r>
      <w:r w:rsidRPr="00194740">
        <w:rPr>
          <w:rFonts w:ascii="Calibri" w:hAnsi="Calibri"/>
          <w:noProof/>
          <w:color w:val="auto"/>
          <w:lang w:val="en-GB"/>
        </w:rPr>
        <w:t xml:space="preserve">nformation in the table above is derived from annual reporting of incidents of violence towards the Ahmadiyya community recorded by the Setara Institute. </w:t>
      </w:r>
      <w:r w:rsidRPr="00194740">
        <w:rPr>
          <w:rFonts w:ascii="Calibri" w:eastAsia="Calibri" w:hAnsi="Calibri" w:cs="Arial"/>
          <w:color w:val="auto"/>
          <w:szCs w:val="22"/>
          <w:lang w:val="en-GB"/>
        </w:rPr>
        <w:t xml:space="preserve">The above tables focus only on incidents against Ahmadis. Please see in the next table the types of violent incidents </w:t>
      </w:r>
      <w:proofErr w:type="spellStart"/>
      <w:r w:rsidRPr="00194740">
        <w:rPr>
          <w:rFonts w:ascii="Calibri" w:eastAsia="Calibri" w:hAnsi="Calibri" w:cs="Arial"/>
          <w:color w:val="auto"/>
          <w:szCs w:val="22"/>
          <w:lang w:val="en-GB"/>
        </w:rPr>
        <w:t>Setara</w:t>
      </w:r>
      <w:proofErr w:type="spellEnd"/>
      <w:r w:rsidRPr="00194740">
        <w:rPr>
          <w:rFonts w:ascii="Calibri" w:eastAsia="Calibri" w:hAnsi="Calibri" w:cs="Arial"/>
          <w:color w:val="auto"/>
          <w:szCs w:val="22"/>
          <w:lang w:val="en-GB"/>
        </w:rPr>
        <w:t xml:space="preserve"> Institute has been concentrating on in the last decade. </w:t>
      </w:r>
    </w:p>
    <w:p w14:paraId="3612E964" w14:textId="77777777" w:rsidR="00194740" w:rsidRPr="00194740" w:rsidRDefault="00194740" w:rsidP="00194740">
      <w:pPr>
        <w:widowControl/>
        <w:autoSpaceDE/>
        <w:autoSpaceDN/>
        <w:adjustRightInd/>
        <w:spacing w:after="160" w:line="259" w:lineRule="auto"/>
        <w:rPr>
          <w:rFonts w:ascii="Calibri" w:eastAsia="Calibri" w:hAnsi="Calibri" w:cs="Arial"/>
          <w:color w:val="auto"/>
          <w:szCs w:val="22"/>
          <w:lang w:val="en-GB"/>
        </w:rPr>
      </w:pPr>
      <w:r w:rsidRPr="00194740">
        <w:rPr>
          <w:rFonts w:ascii="Calibri" w:eastAsia="Calibri" w:hAnsi="Calibri" w:cs="Arial"/>
          <w:color w:val="auto"/>
          <w:szCs w:val="22"/>
          <w:lang w:val="en-GB"/>
        </w:rPr>
        <w:t xml:space="preserve">According to the </w:t>
      </w:r>
      <w:proofErr w:type="spellStart"/>
      <w:r w:rsidRPr="00194740">
        <w:rPr>
          <w:rFonts w:ascii="Calibri" w:eastAsia="Calibri" w:hAnsi="Calibri" w:cs="Arial"/>
          <w:color w:val="auto"/>
          <w:szCs w:val="22"/>
          <w:lang w:val="en-GB"/>
        </w:rPr>
        <w:t>Setara</w:t>
      </w:r>
      <w:proofErr w:type="spellEnd"/>
      <w:r w:rsidRPr="00194740">
        <w:rPr>
          <w:rFonts w:ascii="Calibri" w:eastAsia="Calibri" w:hAnsi="Calibri" w:cs="Arial"/>
          <w:color w:val="auto"/>
          <w:szCs w:val="22"/>
          <w:lang w:val="en-GB"/>
        </w:rPr>
        <w:t xml:space="preserve"> Institute, the peak in the number of attacks in 2008 can be ascribed to the issuing of The Joint Decree: 48 incidences occurred before it was issued and 145 incidences after.</w:t>
      </w:r>
      <w:r w:rsidRPr="00194740">
        <w:rPr>
          <w:rFonts w:ascii="Calibri" w:eastAsia="Calibri" w:hAnsi="Calibri" w:cs="Arial"/>
          <w:color w:val="auto"/>
          <w:szCs w:val="22"/>
          <w:vertAlign w:val="superscript"/>
          <w:lang w:val="en-GB"/>
        </w:rPr>
        <w:footnoteReference w:id="30"/>
      </w:r>
      <w:r w:rsidRPr="00194740">
        <w:rPr>
          <w:rFonts w:ascii="Calibri" w:eastAsia="Calibri" w:hAnsi="Calibri" w:cs="Arial"/>
          <w:color w:val="auto"/>
          <w:szCs w:val="22"/>
          <w:lang w:val="en-GB"/>
        </w:rPr>
        <w:t xml:space="preserve"> One further reason for the rise in attacks could have been the impending elections which were due to be held in 2009. In the run up to the election day, politicians espoused harsh treatment of religious minorities to gain support and attract voters. This provides an incentive to intolerant groups to spread hate and attack Ahmadis. In the election year itself, violent incidents appear to decrease. In the last two years (2014/2015), the number of incidents </w:t>
      </w:r>
      <w:r w:rsidRPr="00194740">
        <w:rPr>
          <w:rFonts w:ascii="Calibri" w:eastAsia="Calibri" w:hAnsi="Calibri" w:cs="Arial"/>
          <w:color w:val="auto"/>
          <w:szCs w:val="22"/>
          <w:lang w:val="en-GB"/>
        </w:rPr>
        <w:lastRenderedPageBreak/>
        <w:t>against Ahmadiyya is decreasing. There is insufficient evidence to determine whether the decrease is associated with the presidency of Jokowi and his policies concerning religious minorities. However, available information suggests that the religious affairs minister and his department have closer relationships with minorities groups.</w:t>
      </w:r>
    </w:p>
    <w:p w14:paraId="0E906571" w14:textId="77777777" w:rsidR="00194740" w:rsidRPr="00194740" w:rsidRDefault="00194740" w:rsidP="00194740">
      <w:pPr>
        <w:spacing w:after="120"/>
        <w:rPr>
          <w:rFonts w:ascii="Calibri" w:eastAsia="Calibri" w:hAnsi="Calibri" w:cs="Arial"/>
          <w:color w:val="auto"/>
          <w:szCs w:val="22"/>
          <w:lang w:val="en-GB"/>
        </w:rPr>
      </w:pPr>
      <w:r w:rsidRPr="00194740">
        <w:rPr>
          <w:rFonts w:ascii="Calibri" w:eastAsia="Calibri" w:hAnsi="Calibri" w:cs="Arial"/>
          <w:color w:val="auto"/>
          <w:szCs w:val="22"/>
          <w:lang w:val="en-GB"/>
        </w:rPr>
        <w:t xml:space="preserve">Another significant increase occurred in 2011. In this year, the local government of </w:t>
      </w:r>
      <w:proofErr w:type="spellStart"/>
      <w:r w:rsidRPr="00194740">
        <w:rPr>
          <w:rFonts w:ascii="Calibri" w:eastAsia="Calibri" w:hAnsi="Calibri" w:cs="Arial"/>
          <w:color w:val="auto"/>
          <w:szCs w:val="22"/>
          <w:lang w:val="en-GB"/>
        </w:rPr>
        <w:t>Banten</w:t>
      </w:r>
      <w:proofErr w:type="spellEnd"/>
      <w:r w:rsidRPr="00194740">
        <w:rPr>
          <w:rFonts w:ascii="Calibri" w:eastAsia="Calibri" w:hAnsi="Calibri" w:cs="Arial"/>
          <w:color w:val="auto"/>
          <w:szCs w:val="22"/>
          <w:lang w:val="en-GB"/>
        </w:rPr>
        <w:t xml:space="preserve"> Province issued the Governor Law (</w:t>
      </w:r>
      <w:proofErr w:type="spellStart"/>
      <w:r w:rsidRPr="00194740">
        <w:rPr>
          <w:rFonts w:ascii="Calibri" w:eastAsia="Calibri" w:hAnsi="Calibri" w:cs="Arial"/>
          <w:color w:val="auto"/>
          <w:szCs w:val="22"/>
          <w:lang w:val="en-GB"/>
        </w:rPr>
        <w:t>Pergub</w:t>
      </w:r>
      <w:proofErr w:type="spellEnd"/>
      <w:r w:rsidRPr="00194740">
        <w:rPr>
          <w:rFonts w:ascii="Calibri" w:eastAsia="Calibri" w:hAnsi="Calibri" w:cs="Arial"/>
          <w:color w:val="auto"/>
          <w:szCs w:val="22"/>
          <w:lang w:val="en-GB"/>
        </w:rPr>
        <w:t xml:space="preserve">) No. 5/2011 which prohibited activities of members of the Indonesian Ahmadiyya Congregation (JAI). In the same month another law was issued, the Governor Rule of West Java No. 12/2011, which is related to the spreading of interpretation and activities that deviate from the fundamental teachings of Islam”. These activities include spreading Ahmadiyya teachings, installing their signboards in public places and on their places of worship and educational institutions, as well as using anything that could identify them as Ahmadiyya followers. This regulation (in </w:t>
      </w:r>
      <w:proofErr w:type="spellStart"/>
      <w:r w:rsidRPr="00194740">
        <w:rPr>
          <w:rFonts w:ascii="Calibri" w:eastAsia="Calibri" w:hAnsi="Calibri" w:cs="Arial"/>
          <w:color w:val="auto"/>
          <w:szCs w:val="22"/>
          <w:lang w:val="en-GB"/>
        </w:rPr>
        <w:t>Pergub</w:t>
      </w:r>
      <w:proofErr w:type="spellEnd"/>
      <w:r w:rsidRPr="00194740">
        <w:rPr>
          <w:rFonts w:ascii="Calibri" w:eastAsia="Calibri" w:hAnsi="Calibri" w:cs="Arial"/>
          <w:color w:val="auto"/>
          <w:szCs w:val="22"/>
          <w:lang w:val="en-GB"/>
        </w:rPr>
        <w:t xml:space="preserve"> of West Java) was adopted by big cities such as: Bogor, Banjar, and Bekasi. Also in 2011, the Indonesian military enforced these laws when Ahmadiyya tried to convert other people to their religion. Other provinces which also issued the same regulation were: South Sulawesi, East Kalimantan, East Java, and West Sumatra. There were at least 11 discriminatory laws against Ahmadis that were issued in 2011.</w:t>
      </w:r>
      <w:r w:rsidRPr="00194740">
        <w:rPr>
          <w:rFonts w:ascii="Calibri" w:eastAsia="Calibri" w:hAnsi="Calibri" w:cs="Arial"/>
          <w:color w:val="auto"/>
          <w:szCs w:val="22"/>
          <w:vertAlign w:val="superscript"/>
          <w:lang w:val="en-GB"/>
        </w:rPr>
        <w:footnoteReference w:id="31"/>
      </w:r>
    </w:p>
    <w:p w14:paraId="549057CC" w14:textId="77777777" w:rsidR="00194740" w:rsidRPr="00194740" w:rsidRDefault="00194740" w:rsidP="00194740">
      <w:pPr>
        <w:widowControl/>
        <w:autoSpaceDE/>
        <w:autoSpaceDN/>
        <w:adjustRightInd/>
        <w:spacing w:after="160" w:line="259" w:lineRule="auto"/>
        <w:rPr>
          <w:rFonts w:ascii="Calibri" w:eastAsia="Calibri" w:hAnsi="Calibri" w:cs="Arial"/>
          <w:color w:val="auto"/>
          <w:szCs w:val="22"/>
          <w:lang w:val="en-GB"/>
        </w:rPr>
      </w:pPr>
      <w:r w:rsidRPr="00194740">
        <w:rPr>
          <w:rFonts w:ascii="Calibri" w:eastAsia="Calibri" w:hAnsi="Calibri"/>
          <w:color w:val="auto"/>
          <w:szCs w:val="22"/>
        </w:rPr>
        <w:t xml:space="preserve">Table 2 shows the types of violence as categorized by </w:t>
      </w:r>
      <w:proofErr w:type="spellStart"/>
      <w:r w:rsidRPr="00194740">
        <w:rPr>
          <w:rFonts w:ascii="Calibri" w:eastAsia="Calibri" w:hAnsi="Calibri"/>
          <w:color w:val="auto"/>
          <w:szCs w:val="22"/>
        </w:rPr>
        <w:t>Setara</w:t>
      </w:r>
      <w:proofErr w:type="spellEnd"/>
      <w:r w:rsidRPr="00194740">
        <w:rPr>
          <w:rFonts w:ascii="Calibri" w:eastAsia="Calibri" w:hAnsi="Calibri"/>
          <w:color w:val="auto"/>
          <w:szCs w:val="22"/>
        </w:rPr>
        <w:t xml:space="preserve"> Institute. </w:t>
      </w:r>
      <w:r w:rsidRPr="00194740">
        <w:rPr>
          <w:rFonts w:ascii="Calibri" w:eastAsia="Calibri" w:hAnsi="Calibri" w:cs="Arial"/>
          <w:color w:val="auto"/>
          <w:szCs w:val="22"/>
          <w:lang w:val="en-GB"/>
        </w:rPr>
        <w:t xml:space="preserve"> </w:t>
      </w:r>
    </w:p>
    <w:p w14:paraId="40850C58" w14:textId="77777777" w:rsidR="00194740" w:rsidRPr="00194740" w:rsidRDefault="00194740" w:rsidP="00194740">
      <w:pPr>
        <w:widowControl/>
        <w:autoSpaceDE/>
        <w:autoSpaceDN/>
        <w:adjustRightInd/>
        <w:spacing w:after="160" w:line="259" w:lineRule="auto"/>
        <w:rPr>
          <w:rFonts w:ascii="Calibri" w:eastAsia="Calibri" w:hAnsi="Calibri" w:cs="Arial"/>
          <w:color w:val="auto"/>
          <w:szCs w:val="22"/>
          <w:lang w:val="en-GB"/>
        </w:rPr>
      </w:pPr>
    </w:p>
    <w:tbl>
      <w:tblPr>
        <w:tblStyle w:val="FarsightTable1"/>
        <w:tblW w:w="0" w:type="auto"/>
        <w:tblInd w:w="2231" w:type="dxa"/>
        <w:tblLook w:val="04A0" w:firstRow="1" w:lastRow="0" w:firstColumn="1" w:lastColumn="0" w:noHBand="0" w:noVBand="1"/>
      </w:tblPr>
      <w:tblGrid>
        <w:gridCol w:w="562"/>
        <w:gridCol w:w="1843"/>
        <w:gridCol w:w="3006"/>
      </w:tblGrid>
      <w:tr w:rsidR="00194740" w:rsidRPr="00194740" w14:paraId="4FD752A7" w14:textId="77777777" w:rsidTr="001947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B3760A3" w14:textId="77777777" w:rsidR="00194740" w:rsidRPr="00194740" w:rsidRDefault="00194740" w:rsidP="00194740">
            <w:pPr>
              <w:widowControl/>
              <w:autoSpaceDE/>
              <w:autoSpaceDN/>
              <w:adjustRightInd/>
              <w:spacing w:after="0" w:line="240" w:lineRule="auto"/>
              <w:jc w:val="center"/>
              <w:rPr>
                <w:rFonts w:ascii="Calibri" w:eastAsia="Calibri" w:hAnsi="Calibri" w:cs="Arial"/>
                <w:bCs/>
                <w:color w:val="auto"/>
                <w:szCs w:val="22"/>
                <w:lang w:val="en-GB"/>
              </w:rPr>
            </w:pPr>
            <w:r w:rsidRPr="00194740">
              <w:rPr>
                <w:rFonts w:ascii="Calibri" w:eastAsia="Calibri" w:hAnsi="Calibri" w:cs="Arial"/>
                <w:bCs/>
                <w:color w:val="auto"/>
                <w:szCs w:val="22"/>
                <w:lang w:val="en-GB"/>
              </w:rPr>
              <w:t>No.</w:t>
            </w:r>
          </w:p>
        </w:tc>
        <w:tc>
          <w:tcPr>
            <w:tcW w:w="1843" w:type="dxa"/>
          </w:tcPr>
          <w:p w14:paraId="268330CC" w14:textId="77777777" w:rsidR="00194740" w:rsidRPr="00194740" w:rsidRDefault="00194740" w:rsidP="00194740">
            <w:pPr>
              <w:widowControl/>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Cs/>
                <w:color w:val="auto"/>
                <w:szCs w:val="22"/>
                <w:lang w:val="en-GB"/>
              </w:rPr>
            </w:pPr>
            <w:r w:rsidRPr="00194740">
              <w:rPr>
                <w:rFonts w:ascii="Calibri" w:eastAsia="Calibri" w:hAnsi="Calibri" w:cs="Arial"/>
                <w:bCs/>
                <w:color w:val="auto"/>
                <w:szCs w:val="22"/>
                <w:lang w:val="en-GB"/>
              </w:rPr>
              <w:t>Type of violence</w:t>
            </w:r>
          </w:p>
        </w:tc>
        <w:tc>
          <w:tcPr>
            <w:tcW w:w="3006" w:type="dxa"/>
          </w:tcPr>
          <w:p w14:paraId="11F3C4F3" w14:textId="77777777" w:rsidR="00194740" w:rsidRPr="00194740" w:rsidRDefault="00194740" w:rsidP="00194740">
            <w:pPr>
              <w:widowControl/>
              <w:autoSpaceDE/>
              <w:autoSpaceDN/>
              <w:adjustRightInd/>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Cs/>
                <w:color w:val="auto"/>
                <w:szCs w:val="22"/>
                <w:lang w:val="en-GB"/>
              </w:rPr>
            </w:pPr>
            <w:r w:rsidRPr="00194740">
              <w:rPr>
                <w:rFonts w:ascii="Calibri" w:eastAsia="Calibri" w:hAnsi="Calibri" w:cs="Arial"/>
                <w:bCs/>
                <w:color w:val="auto"/>
                <w:szCs w:val="22"/>
                <w:lang w:val="en-GB"/>
              </w:rPr>
              <w:t>Number of incidents</w:t>
            </w:r>
          </w:p>
        </w:tc>
      </w:tr>
      <w:tr w:rsidR="00194740" w:rsidRPr="00194740" w14:paraId="712CCCB1"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128AA93C"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w:t>
            </w:r>
          </w:p>
        </w:tc>
        <w:tc>
          <w:tcPr>
            <w:tcW w:w="1843" w:type="dxa"/>
          </w:tcPr>
          <w:p w14:paraId="6C8B3118"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Threat of violence</w:t>
            </w:r>
          </w:p>
        </w:tc>
        <w:tc>
          <w:tcPr>
            <w:tcW w:w="3006" w:type="dxa"/>
          </w:tcPr>
          <w:p w14:paraId="32E75ECE"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3</w:t>
            </w:r>
          </w:p>
        </w:tc>
      </w:tr>
      <w:tr w:rsidR="00194740" w:rsidRPr="00194740" w14:paraId="1D70A050"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EB5838E"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2</w:t>
            </w:r>
          </w:p>
        </w:tc>
        <w:tc>
          <w:tcPr>
            <w:tcW w:w="1843" w:type="dxa"/>
          </w:tcPr>
          <w:p w14:paraId="7484D618"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Threat of Expulsion</w:t>
            </w:r>
          </w:p>
        </w:tc>
        <w:tc>
          <w:tcPr>
            <w:tcW w:w="3006" w:type="dxa"/>
          </w:tcPr>
          <w:p w14:paraId="27164C0F"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w:t>
            </w:r>
          </w:p>
        </w:tc>
      </w:tr>
      <w:tr w:rsidR="00194740" w:rsidRPr="00194740" w14:paraId="009D86CC"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04C2CDC5"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3</w:t>
            </w:r>
          </w:p>
        </w:tc>
        <w:tc>
          <w:tcPr>
            <w:tcW w:w="1843" w:type="dxa"/>
          </w:tcPr>
          <w:p w14:paraId="405CB497"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Threat of closing Worship building</w:t>
            </w:r>
          </w:p>
        </w:tc>
        <w:tc>
          <w:tcPr>
            <w:tcW w:w="3006" w:type="dxa"/>
          </w:tcPr>
          <w:p w14:paraId="3F88DD45"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w:t>
            </w:r>
          </w:p>
        </w:tc>
      </w:tr>
      <w:tr w:rsidR="00194740" w:rsidRPr="00194740" w14:paraId="63B9ACC8"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48F4B6"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4</w:t>
            </w:r>
          </w:p>
        </w:tc>
        <w:tc>
          <w:tcPr>
            <w:tcW w:w="1843" w:type="dxa"/>
          </w:tcPr>
          <w:p w14:paraId="27E0B13A"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Threat of attack</w:t>
            </w:r>
          </w:p>
        </w:tc>
        <w:tc>
          <w:tcPr>
            <w:tcW w:w="3006" w:type="dxa"/>
          </w:tcPr>
          <w:p w14:paraId="71FBCB78"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4</w:t>
            </w:r>
          </w:p>
        </w:tc>
      </w:tr>
      <w:tr w:rsidR="00194740" w:rsidRPr="00194740" w14:paraId="4D20913E"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65266DF7"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5</w:t>
            </w:r>
          </w:p>
        </w:tc>
        <w:tc>
          <w:tcPr>
            <w:tcW w:w="1843" w:type="dxa"/>
          </w:tcPr>
          <w:p w14:paraId="0E55797F"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Condoning</w:t>
            </w:r>
          </w:p>
        </w:tc>
        <w:tc>
          <w:tcPr>
            <w:tcW w:w="3006" w:type="dxa"/>
          </w:tcPr>
          <w:p w14:paraId="0022ABAC"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24</w:t>
            </w:r>
          </w:p>
        </w:tc>
      </w:tr>
      <w:tr w:rsidR="00194740" w:rsidRPr="00194740" w14:paraId="695AAD46"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570D45C"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7</w:t>
            </w:r>
          </w:p>
        </w:tc>
        <w:tc>
          <w:tcPr>
            <w:tcW w:w="1843" w:type="dxa"/>
          </w:tcPr>
          <w:p w14:paraId="048FB7AD"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Discrimination</w:t>
            </w:r>
          </w:p>
        </w:tc>
        <w:tc>
          <w:tcPr>
            <w:tcW w:w="3006" w:type="dxa"/>
          </w:tcPr>
          <w:p w14:paraId="18860AD8"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5</w:t>
            </w:r>
          </w:p>
        </w:tc>
      </w:tr>
      <w:tr w:rsidR="00194740" w:rsidRPr="00194740" w14:paraId="7B1CB56D"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56B64818"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8</w:t>
            </w:r>
          </w:p>
        </w:tc>
        <w:tc>
          <w:tcPr>
            <w:tcW w:w="1843" w:type="dxa"/>
          </w:tcPr>
          <w:p w14:paraId="29F8AF9D"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Intimidation</w:t>
            </w:r>
          </w:p>
        </w:tc>
        <w:tc>
          <w:tcPr>
            <w:tcW w:w="3006" w:type="dxa"/>
          </w:tcPr>
          <w:p w14:paraId="4475ED48"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7</w:t>
            </w:r>
          </w:p>
        </w:tc>
      </w:tr>
      <w:tr w:rsidR="00194740" w:rsidRPr="00194740" w14:paraId="0B06A582"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7690160"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9</w:t>
            </w:r>
          </w:p>
        </w:tc>
        <w:tc>
          <w:tcPr>
            <w:tcW w:w="1843" w:type="dxa"/>
          </w:tcPr>
          <w:p w14:paraId="32666D35"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Intolerance</w:t>
            </w:r>
          </w:p>
        </w:tc>
        <w:tc>
          <w:tcPr>
            <w:tcW w:w="3006" w:type="dxa"/>
          </w:tcPr>
          <w:p w14:paraId="1E785FF9"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175</w:t>
            </w:r>
          </w:p>
        </w:tc>
      </w:tr>
      <w:tr w:rsidR="00194740" w:rsidRPr="00194740" w14:paraId="0EA9DF5F"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19081BBC"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10</w:t>
            </w:r>
          </w:p>
        </w:tc>
        <w:tc>
          <w:tcPr>
            <w:tcW w:w="1843" w:type="dxa"/>
          </w:tcPr>
          <w:p w14:paraId="671CB4EA"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Forbidding worship</w:t>
            </w:r>
          </w:p>
        </w:tc>
        <w:tc>
          <w:tcPr>
            <w:tcW w:w="3006" w:type="dxa"/>
          </w:tcPr>
          <w:p w14:paraId="535568FF"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20</w:t>
            </w:r>
          </w:p>
        </w:tc>
      </w:tr>
      <w:tr w:rsidR="00194740" w:rsidRPr="00194740" w14:paraId="0D248640"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5EB0619"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11</w:t>
            </w:r>
          </w:p>
        </w:tc>
        <w:tc>
          <w:tcPr>
            <w:tcW w:w="1843" w:type="dxa"/>
          </w:tcPr>
          <w:p w14:paraId="4455A49B"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Stakeout</w:t>
            </w:r>
          </w:p>
        </w:tc>
        <w:tc>
          <w:tcPr>
            <w:tcW w:w="3006" w:type="dxa"/>
          </w:tcPr>
          <w:p w14:paraId="249898A4"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w:t>
            </w:r>
          </w:p>
        </w:tc>
      </w:tr>
      <w:tr w:rsidR="00194740" w:rsidRPr="00194740" w14:paraId="3F4F6E8D"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4D3F0158"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12</w:t>
            </w:r>
          </w:p>
        </w:tc>
        <w:tc>
          <w:tcPr>
            <w:tcW w:w="1843" w:type="dxa"/>
          </w:tcPr>
          <w:p w14:paraId="05235A60"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Reporting</w:t>
            </w:r>
          </w:p>
        </w:tc>
        <w:tc>
          <w:tcPr>
            <w:tcW w:w="3006" w:type="dxa"/>
          </w:tcPr>
          <w:p w14:paraId="384EBA57"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4</w:t>
            </w:r>
          </w:p>
        </w:tc>
      </w:tr>
      <w:tr w:rsidR="00194740" w:rsidRPr="00194740" w14:paraId="7DE6A8D1"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550F3FB"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13</w:t>
            </w:r>
          </w:p>
        </w:tc>
        <w:tc>
          <w:tcPr>
            <w:tcW w:w="1843" w:type="dxa"/>
          </w:tcPr>
          <w:p w14:paraId="6DACDF70"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Forcing to convert faith</w:t>
            </w:r>
          </w:p>
        </w:tc>
        <w:tc>
          <w:tcPr>
            <w:tcW w:w="3006" w:type="dxa"/>
          </w:tcPr>
          <w:p w14:paraId="1C04C42D"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3</w:t>
            </w:r>
          </w:p>
        </w:tc>
      </w:tr>
      <w:tr w:rsidR="00194740" w:rsidRPr="00194740" w14:paraId="07E80F81"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14E75C27"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14</w:t>
            </w:r>
          </w:p>
        </w:tc>
        <w:tc>
          <w:tcPr>
            <w:tcW w:w="1843" w:type="dxa"/>
          </w:tcPr>
          <w:p w14:paraId="0AC71252"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Burning worship place</w:t>
            </w:r>
          </w:p>
        </w:tc>
        <w:tc>
          <w:tcPr>
            <w:tcW w:w="3006" w:type="dxa"/>
          </w:tcPr>
          <w:p w14:paraId="12169894"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7</w:t>
            </w:r>
          </w:p>
        </w:tc>
      </w:tr>
      <w:tr w:rsidR="00194740" w:rsidRPr="00194740" w14:paraId="300E5E4B"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CA78201"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15</w:t>
            </w:r>
          </w:p>
        </w:tc>
        <w:tc>
          <w:tcPr>
            <w:tcW w:w="1843" w:type="dxa"/>
          </w:tcPr>
          <w:p w14:paraId="71335EC4"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Demolishing property</w:t>
            </w:r>
          </w:p>
        </w:tc>
        <w:tc>
          <w:tcPr>
            <w:tcW w:w="3006" w:type="dxa"/>
          </w:tcPr>
          <w:p w14:paraId="5AC76F86"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20</w:t>
            </w:r>
          </w:p>
        </w:tc>
      </w:tr>
      <w:tr w:rsidR="00194740" w:rsidRPr="00194740" w14:paraId="74B75CF9"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32442B54"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16</w:t>
            </w:r>
          </w:p>
        </w:tc>
        <w:tc>
          <w:tcPr>
            <w:tcW w:w="1843" w:type="dxa"/>
          </w:tcPr>
          <w:p w14:paraId="7C3F0550"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Sealing worship place</w:t>
            </w:r>
          </w:p>
        </w:tc>
        <w:tc>
          <w:tcPr>
            <w:tcW w:w="3006" w:type="dxa"/>
          </w:tcPr>
          <w:p w14:paraId="18BBB910"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49</w:t>
            </w:r>
          </w:p>
        </w:tc>
      </w:tr>
      <w:tr w:rsidR="00194740" w:rsidRPr="00194740" w14:paraId="786CB737" w14:textId="77777777" w:rsidTr="00194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976A535"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17</w:t>
            </w:r>
          </w:p>
        </w:tc>
        <w:tc>
          <w:tcPr>
            <w:tcW w:w="1843" w:type="dxa"/>
          </w:tcPr>
          <w:p w14:paraId="17ACB9B3"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Attacking</w:t>
            </w:r>
          </w:p>
        </w:tc>
        <w:tc>
          <w:tcPr>
            <w:tcW w:w="3006" w:type="dxa"/>
          </w:tcPr>
          <w:p w14:paraId="585CBA87" w14:textId="77777777" w:rsidR="00194740" w:rsidRPr="00194740" w:rsidRDefault="00194740" w:rsidP="00194740">
            <w:pPr>
              <w:widowControl/>
              <w:autoSpaceDE/>
              <w:autoSpaceDN/>
              <w:adjustRightInd/>
              <w:spacing w:after="0" w:line="240" w:lineRule="auto"/>
              <w:jc w:val="left"/>
              <w:cnfStyle w:val="000000010000" w:firstRow="0" w:lastRow="0" w:firstColumn="0" w:lastColumn="0" w:oddVBand="0" w:evenVBand="0" w:oddHBand="0" w:evenHBand="1"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16</w:t>
            </w:r>
          </w:p>
        </w:tc>
      </w:tr>
      <w:tr w:rsidR="00194740" w:rsidRPr="00194740" w14:paraId="4A67C198" w14:textId="77777777" w:rsidTr="009F2F39">
        <w:tc>
          <w:tcPr>
            <w:cnfStyle w:val="001000000000" w:firstRow="0" w:lastRow="0" w:firstColumn="1" w:lastColumn="0" w:oddVBand="0" w:evenVBand="0" w:oddHBand="0" w:evenHBand="0" w:firstRowFirstColumn="0" w:firstRowLastColumn="0" w:lastRowFirstColumn="0" w:lastRowLastColumn="0"/>
            <w:tcW w:w="562" w:type="dxa"/>
          </w:tcPr>
          <w:p w14:paraId="7DBDA194" w14:textId="77777777" w:rsidR="00194740" w:rsidRPr="00194740" w:rsidRDefault="00194740" w:rsidP="00194740">
            <w:pPr>
              <w:widowControl/>
              <w:autoSpaceDE/>
              <w:autoSpaceDN/>
              <w:adjustRightInd/>
              <w:spacing w:after="0" w:line="240" w:lineRule="auto"/>
              <w:jc w:val="left"/>
              <w:rPr>
                <w:rFonts w:ascii="Calibri" w:eastAsia="Calibri" w:hAnsi="Calibri" w:cs="Arial"/>
                <w:color w:val="auto"/>
                <w:szCs w:val="22"/>
                <w:lang w:val="en-GB"/>
              </w:rPr>
            </w:pPr>
            <w:r w:rsidRPr="00194740">
              <w:rPr>
                <w:rFonts w:ascii="Calibri" w:eastAsia="Calibri" w:hAnsi="Calibri" w:cs="Arial"/>
                <w:color w:val="auto"/>
                <w:szCs w:val="22"/>
                <w:lang w:val="en-GB"/>
              </w:rPr>
              <w:t>18</w:t>
            </w:r>
          </w:p>
        </w:tc>
        <w:tc>
          <w:tcPr>
            <w:tcW w:w="1843" w:type="dxa"/>
          </w:tcPr>
          <w:p w14:paraId="6EEC9A7B"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Expulsion</w:t>
            </w:r>
          </w:p>
        </w:tc>
        <w:tc>
          <w:tcPr>
            <w:tcW w:w="3006" w:type="dxa"/>
          </w:tcPr>
          <w:p w14:paraId="05EF5A4C" w14:textId="77777777" w:rsidR="00194740" w:rsidRPr="00194740" w:rsidRDefault="00194740" w:rsidP="00194740">
            <w:pPr>
              <w:widowControl/>
              <w:autoSpaceDE/>
              <w:autoSpaceDN/>
              <w:adjustRightInd/>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auto"/>
                <w:szCs w:val="22"/>
                <w:lang w:val="en-GB"/>
              </w:rPr>
            </w:pPr>
            <w:r w:rsidRPr="00194740">
              <w:rPr>
                <w:rFonts w:ascii="Calibri" w:eastAsia="Calibri" w:hAnsi="Calibri" w:cs="Arial"/>
                <w:color w:val="auto"/>
                <w:szCs w:val="22"/>
                <w:lang w:val="en-GB"/>
              </w:rPr>
              <w:t>5</w:t>
            </w:r>
          </w:p>
        </w:tc>
      </w:tr>
    </w:tbl>
    <w:p w14:paraId="097AAF9A" w14:textId="77777777" w:rsidR="00194740" w:rsidRPr="00194740" w:rsidRDefault="00194740" w:rsidP="00194740">
      <w:pPr>
        <w:spacing w:after="120"/>
        <w:ind w:left="1440" w:firstLine="720"/>
        <w:rPr>
          <w:rFonts w:ascii="Calibri" w:eastAsia="Calibri" w:hAnsi="Calibri"/>
          <w:noProof/>
          <w:color w:val="auto"/>
          <w:lang w:val="en-GB"/>
        </w:rPr>
      </w:pPr>
      <w:r w:rsidRPr="00194740">
        <w:rPr>
          <w:rFonts w:ascii="Calibri" w:eastAsia="Calibri" w:hAnsi="Calibri"/>
          <w:noProof/>
          <w:color w:val="auto"/>
          <w:lang w:val="en-GB"/>
        </w:rPr>
        <w:lastRenderedPageBreak/>
        <w:t xml:space="preserve">Table 2: </w:t>
      </w:r>
      <w:r w:rsidRPr="00194740">
        <w:rPr>
          <w:rFonts w:ascii="Calibri" w:hAnsi="Calibri"/>
          <w:noProof/>
          <w:color w:val="auto"/>
          <w:lang w:val="en-GB"/>
        </w:rPr>
        <w:t>Types of violence against Ahmadiyya from 2007-2015</w:t>
      </w:r>
      <w:r w:rsidRPr="00194740">
        <w:rPr>
          <w:rFonts w:ascii="Calibri" w:hAnsi="Calibri"/>
          <w:noProof/>
          <w:color w:val="auto"/>
          <w:sz w:val="18"/>
          <w:vertAlign w:val="superscript"/>
          <w:lang w:val="en-GB"/>
        </w:rPr>
        <w:footnoteReference w:id="32"/>
      </w:r>
    </w:p>
    <w:p w14:paraId="42AF5015" w14:textId="77777777" w:rsidR="00194740" w:rsidRPr="00194740" w:rsidRDefault="00194740" w:rsidP="00194740">
      <w:pPr>
        <w:spacing w:after="120"/>
        <w:rPr>
          <w:rFonts w:ascii="Calibri" w:eastAsia="Calibri" w:hAnsi="Calibri"/>
          <w:noProof/>
          <w:color w:val="auto"/>
          <w:lang w:val="en-GB"/>
        </w:rPr>
      </w:pPr>
    </w:p>
    <w:p w14:paraId="5AA004C0" w14:textId="77777777" w:rsidR="00194740" w:rsidRPr="00194740" w:rsidRDefault="00194740" w:rsidP="00194740">
      <w:pPr>
        <w:widowControl/>
        <w:autoSpaceDE/>
        <w:autoSpaceDN/>
        <w:adjustRightInd/>
        <w:spacing w:after="160" w:line="259" w:lineRule="auto"/>
        <w:rPr>
          <w:rFonts w:ascii="Calibri" w:eastAsia="Calibri" w:hAnsi="Calibri"/>
          <w:color w:val="auto"/>
          <w:szCs w:val="22"/>
          <w:lang w:val="en-GB"/>
        </w:rPr>
      </w:pPr>
      <w:r w:rsidRPr="00194740">
        <w:rPr>
          <w:rFonts w:ascii="Calibri" w:eastAsia="Calibri" w:hAnsi="Calibri"/>
          <w:color w:val="auto"/>
          <w:szCs w:val="22"/>
        </w:rPr>
        <w:t xml:space="preserve">The results indicate that there is a higher number of reports of ‘Intolerance’ than any other category. </w:t>
      </w:r>
      <w:proofErr w:type="spellStart"/>
      <w:r w:rsidRPr="00194740">
        <w:rPr>
          <w:rFonts w:ascii="Calibri" w:eastAsia="Calibri" w:hAnsi="Calibri"/>
          <w:color w:val="auto"/>
          <w:szCs w:val="22"/>
        </w:rPr>
        <w:t>Setara</w:t>
      </w:r>
      <w:proofErr w:type="spellEnd"/>
      <w:r w:rsidRPr="00194740">
        <w:rPr>
          <w:rFonts w:ascii="Calibri" w:eastAsia="Calibri" w:hAnsi="Calibri"/>
          <w:color w:val="auto"/>
          <w:szCs w:val="22"/>
        </w:rPr>
        <w:t xml:space="preserve"> defines this as: government and non- government actions of intolerance, including negative statements, towards Ahmadis. </w:t>
      </w:r>
    </w:p>
    <w:p w14:paraId="47E332C2" w14:textId="77777777" w:rsidR="00194740" w:rsidRPr="00194740" w:rsidRDefault="00194740" w:rsidP="00194740">
      <w:pPr>
        <w:spacing w:after="120"/>
        <w:rPr>
          <w:rFonts w:ascii="Calibri" w:eastAsia="Calibri" w:hAnsi="Calibri"/>
          <w:noProof/>
          <w:color w:val="auto"/>
          <w:lang w:val="en-GB"/>
        </w:rPr>
      </w:pPr>
      <w:r w:rsidRPr="00194740">
        <w:rPr>
          <w:rFonts w:ascii="Calibri" w:eastAsia="Calibri" w:hAnsi="Calibri"/>
          <w:noProof/>
          <w:color w:val="auto"/>
          <w:lang w:val="en-GB"/>
        </w:rPr>
        <w:t>More information is needed on who the perpetrators are, the context on these forms of violence and the perception of Ahmadis towards in relation to their protection and security, which will be part of the research, but table 2 shows the prevalence of different forms of violence.</w:t>
      </w:r>
    </w:p>
    <w:p w14:paraId="721F23BA"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Current situation</w:t>
      </w:r>
    </w:p>
    <w:p w14:paraId="2FAA7BF3"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 xml:space="preserve">This research will conduct an assessment in five target areas to determine the level of discrimination experienced by the Ahmadiyya and the security mechanisms in place. These areas are: </w:t>
      </w:r>
    </w:p>
    <w:p w14:paraId="3A61E9FA" w14:textId="77777777" w:rsidR="00194740" w:rsidRPr="00194740" w:rsidRDefault="00194740" w:rsidP="00194740">
      <w:pPr>
        <w:numPr>
          <w:ilvl w:val="0"/>
          <w:numId w:val="35"/>
        </w:numPr>
        <w:spacing w:after="120" w:line="276" w:lineRule="auto"/>
        <w:contextualSpacing/>
        <w:rPr>
          <w:rFonts w:ascii="Calibri" w:hAnsi="Calibri"/>
          <w:noProof/>
          <w:color w:val="auto"/>
          <w:lang w:val="en-GB"/>
        </w:rPr>
      </w:pPr>
      <w:r w:rsidRPr="00194740">
        <w:rPr>
          <w:rFonts w:ascii="Calibri" w:hAnsi="Calibri"/>
          <w:noProof/>
          <w:color w:val="auto"/>
          <w:lang w:val="en-GB"/>
        </w:rPr>
        <w:t xml:space="preserve">Tasikmalaya; </w:t>
      </w:r>
    </w:p>
    <w:p w14:paraId="5959E759" w14:textId="77777777" w:rsidR="00194740" w:rsidRPr="00194740" w:rsidRDefault="00194740" w:rsidP="00194740">
      <w:pPr>
        <w:numPr>
          <w:ilvl w:val="0"/>
          <w:numId w:val="35"/>
        </w:numPr>
        <w:spacing w:after="120" w:line="276" w:lineRule="auto"/>
        <w:contextualSpacing/>
        <w:rPr>
          <w:rFonts w:ascii="Calibri" w:hAnsi="Calibri"/>
          <w:noProof/>
          <w:color w:val="auto"/>
          <w:lang w:val="en-GB"/>
        </w:rPr>
      </w:pPr>
      <w:r w:rsidRPr="00194740">
        <w:rPr>
          <w:rFonts w:ascii="Calibri" w:hAnsi="Calibri"/>
          <w:noProof/>
          <w:color w:val="auto"/>
          <w:lang w:val="en-GB"/>
        </w:rPr>
        <w:t>Sukabumi;</w:t>
      </w:r>
    </w:p>
    <w:p w14:paraId="690D1EC4" w14:textId="77777777" w:rsidR="00194740" w:rsidRPr="00194740" w:rsidRDefault="00194740" w:rsidP="00194740">
      <w:pPr>
        <w:numPr>
          <w:ilvl w:val="0"/>
          <w:numId w:val="35"/>
        </w:numPr>
        <w:spacing w:after="120" w:line="276" w:lineRule="auto"/>
        <w:contextualSpacing/>
        <w:rPr>
          <w:rFonts w:ascii="Calibri" w:hAnsi="Calibri"/>
          <w:noProof/>
          <w:color w:val="auto"/>
          <w:lang w:val="en-GB"/>
        </w:rPr>
      </w:pPr>
      <w:r w:rsidRPr="00194740">
        <w:rPr>
          <w:rFonts w:ascii="Calibri" w:hAnsi="Calibri"/>
          <w:noProof/>
          <w:color w:val="auto"/>
          <w:lang w:val="en-GB"/>
        </w:rPr>
        <w:t xml:space="preserve">Cirebon/Kuningan; </w:t>
      </w:r>
    </w:p>
    <w:p w14:paraId="37623273" w14:textId="77777777" w:rsidR="00194740" w:rsidRPr="00194740" w:rsidRDefault="00194740" w:rsidP="00194740">
      <w:pPr>
        <w:numPr>
          <w:ilvl w:val="0"/>
          <w:numId w:val="35"/>
        </w:numPr>
        <w:spacing w:after="120" w:line="276" w:lineRule="auto"/>
        <w:contextualSpacing/>
        <w:rPr>
          <w:rFonts w:ascii="Calibri" w:hAnsi="Calibri"/>
          <w:noProof/>
          <w:color w:val="auto"/>
          <w:lang w:val="en-GB"/>
        </w:rPr>
      </w:pPr>
      <w:r w:rsidRPr="00194740">
        <w:rPr>
          <w:rFonts w:ascii="Calibri" w:hAnsi="Calibri"/>
          <w:noProof/>
          <w:color w:val="auto"/>
          <w:lang w:val="en-GB"/>
        </w:rPr>
        <w:t xml:space="preserve">Bogor;  and </w:t>
      </w:r>
    </w:p>
    <w:p w14:paraId="4D36392C" w14:textId="77777777" w:rsidR="00194740" w:rsidRPr="00194740" w:rsidRDefault="00194740" w:rsidP="00194740">
      <w:pPr>
        <w:numPr>
          <w:ilvl w:val="0"/>
          <w:numId w:val="35"/>
        </w:numPr>
        <w:spacing w:after="120" w:line="276" w:lineRule="auto"/>
        <w:contextualSpacing/>
        <w:rPr>
          <w:rFonts w:ascii="Calibri" w:hAnsi="Calibri"/>
          <w:noProof/>
          <w:color w:val="auto"/>
          <w:lang w:val="en-GB"/>
        </w:rPr>
      </w:pPr>
      <w:r w:rsidRPr="00194740">
        <w:rPr>
          <w:rFonts w:ascii="Calibri" w:hAnsi="Calibri"/>
          <w:noProof/>
          <w:color w:val="auto"/>
          <w:lang w:val="en-GB"/>
        </w:rPr>
        <w:t xml:space="preserve">Depok. </w:t>
      </w:r>
    </w:p>
    <w:p w14:paraId="343C2D31"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 xml:space="preserve">Our research team has visited the 5 areas and met with the local leaders of the Ahmadiyya communities there. </w:t>
      </w:r>
    </w:p>
    <w:p w14:paraId="039E9356"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Tasikmalaya</w:t>
      </w:r>
    </w:p>
    <w:p w14:paraId="7586F83F"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In West Java, the majority of the Ahmadiyya community resides in Tasikmalaya. The community initially lived relatively peacefully with the local residents, however in 2004, after an attack against Ahmadiyya community in Bogor, the situation became increasingly tense. As a result, there are four places of worship belonging to Ahmadiyya community in Tasikmalaya that have been sealed by the local officials or were demolished by conservative groups. In 2007, an Ahmadiyya mosque in Sukapura was closed and in 2008 mosques in Cipakat, Cipasung and Singaparna were attacked. Discriminative regulations from the West Java Governor Regulation and the MUI fatwa against Ahmadiyya have been used by many radical groups to justify their actions to attack places of worship belonging to Ahmadiyya community or to prohibit any activities within the mosques.</w:t>
      </w:r>
    </w:p>
    <w:p w14:paraId="55EE76F5"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In 2015 alone, out of six mosques in West Java that have been sealed, four of them are in Tasikmalaya. According to a Mubaligh and an Amir in Tasikmalaya, those mosques remain sealed and therefore members of Ahmadiyya in those areas are not able to use it. While they are not able to have access to places of worship, Ahmadiyya community in Tasikmalaya have a proper access to civil registrations such as obtaining identity cards, birth certificates or registering their marriage.</w:t>
      </w:r>
    </w:p>
    <w:p w14:paraId="38566866"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Sukabumi</w:t>
      </w:r>
    </w:p>
    <w:p w14:paraId="65EFF143"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 xml:space="preserve">The Ahmadiyya community in Sukabumi City is generally accepted by the surrounding local communities. In general, the Ahmadiyya community in Sukabumi City is allowed to organise their religious activities. For instance, earlier this year, Ahmadiyya community in Sukabumi City was able to arrange a short course during </w:t>
      </w:r>
      <w:r w:rsidRPr="00194740">
        <w:rPr>
          <w:rFonts w:ascii="Calibri" w:hAnsi="Calibri"/>
          <w:noProof/>
          <w:color w:val="auto"/>
          <w:lang w:val="en-GB"/>
        </w:rPr>
        <w:lastRenderedPageBreak/>
        <w:t>Ramadan (</w:t>
      </w:r>
      <w:r w:rsidRPr="00194740">
        <w:rPr>
          <w:rFonts w:ascii="Calibri" w:hAnsi="Calibri"/>
          <w:i/>
          <w:noProof/>
          <w:color w:val="auto"/>
          <w:lang w:val="en-GB"/>
        </w:rPr>
        <w:t>Pesantren Kilat</w:t>
      </w:r>
      <w:r w:rsidRPr="00194740">
        <w:rPr>
          <w:rFonts w:ascii="Calibri" w:hAnsi="Calibri"/>
          <w:noProof/>
          <w:color w:val="auto"/>
          <w:lang w:val="en-GB"/>
        </w:rPr>
        <w:t xml:space="preserve">) with approximately 40 participants. Additionally, social services like health care and education are accessible to them, including the ownership of legal documents like identity cards and birth certificates. </w:t>
      </w:r>
    </w:p>
    <w:p w14:paraId="410779DF"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This stands in contrast to the treatment of the Ahmadiyya in Parakansalak, a sub-district in Sukabumi. According to the local Ahmadiyya preacher, unlike in the City there is a growing intolerance in Parakansalak towards the local Ahmadiyya community. Members of Ahmadiyya in Parakansalak have not been able to use their mosque since it was destroyed by radical groups in 2008. In April 2016 there was an attempt to renovate the mosque, however it had to be cancelled after the local leader of Ahmadiyya agreed to MUI and Muspika (</w:t>
      </w:r>
      <w:r w:rsidRPr="00194740">
        <w:rPr>
          <w:rFonts w:ascii="Calibri" w:hAnsi="Calibri"/>
          <w:i/>
          <w:noProof/>
          <w:color w:val="auto"/>
          <w:lang w:val="en-GB"/>
        </w:rPr>
        <w:t>Musyawarah Pimpinan Kecamatan/</w:t>
      </w:r>
      <w:r w:rsidRPr="00194740">
        <w:rPr>
          <w:rFonts w:ascii="Calibri" w:hAnsi="Calibri"/>
          <w:noProof/>
          <w:color w:val="auto"/>
          <w:lang w:val="en-GB"/>
        </w:rPr>
        <w:t>Forum of Head of District) to cancel the renovation.</w:t>
      </w:r>
    </w:p>
    <w:p w14:paraId="56DB3461"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Cirebon/Kuningan</w:t>
      </w:r>
    </w:p>
    <w:p w14:paraId="32755B4F"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 xml:space="preserve">In Manislor, Kuningan Regency, the majority of the population are members of Ahmadiyya. From the interview with a local leader of Ahmadiyya, after a conflict that occurred in 2010, members of Ahmadiyya community in Manislor have been discriminated against by the local government. They face difficulties in obtaining IDs and if they do not own an ID, they are not allowed to register their marriage. This barrier which was put in place by fundamentalist groups who applied pressure to the local government. They used the Joint Ministerial Decree, West Java Governor Regulation and a Fatwa MUI against Ahmadiyya to justify their actions. This situation has resulted to a diminished number of Ahmadiyya in Manislor, approximately 20% of the population has left the Village in order to receive better public services. </w:t>
      </w:r>
    </w:p>
    <w:p w14:paraId="5B3CB905"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Bogor</w:t>
      </w:r>
    </w:p>
    <w:p w14:paraId="4392CE0E"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As in many cities in West Java, the Ahmadiyya community in Bogor City is able to co-exist with local residents. Within the City, the local residents acknowledge their existence. The social and economic condition of Ahmadiyya community members is considered relatively secure, and they can obtain legal documents, such as IDs and birth certificates. However, in Cisalada village, Bogor, many members of Ahmadiyya community still face discrimination. For instance, an Ahmadiyya mosque in that area was demolished in 2010. The mosque itself has house of worship permit and deed, however they are not allowed to rebuild it. Renovation is also prohibited, as there is much pressure from radical groups. Based on the recent situation, the local government is still unwilling to take this issue into consideration.</w:t>
      </w:r>
    </w:p>
    <w:p w14:paraId="71F7D5BC"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Depok</w:t>
      </w:r>
    </w:p>
    <w:p w14:paraId="4BCF87A8"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Depok City is one area where members of Ahmadiyya are unable to practice their religious teachings in their places of worship, in which the main issue for Ahmadiyya community in this area. In 2011, an Ahmadiyya mosque was sealed by the local officials. Such an action is based again on the Joint Ministerial Decree, West Java Governor Regulation and the MUI Fatwa against Ahmadiyya. While access to public services and legal documents are not their main concern as many of them are able to obtain IDs, for instance.</w:t>
      </w:r>
    </w:p>
    <w:p w14:paraId="73940355" w14:textId="77777777" w:rsidR="00194740" w:rsidRPr="00194740" w:rsidRDefault="00194740" w:rsidP="00194740">
      <w:pPr>
        <w:spacing w:after="120" w:line="276" w:lineRule="auto"/>
        <w:rPr>
          <w:rFonts w:ascii="Calibri" w:hAnsi="Calibri"/>
          <w:b/>
          <w:noProof/>
          <w:color w:val="auto"/>
          <w:lang w:val="en-GB"/>
        </w:rPr>
      </w:pPr>
      <w:r w:rsidRPr="00194740">
        <w:rPr>
          <w:rFonts w:ascii="Calibri" w:hAnsi="Calibri"/>
          <w:b/>
          <w:noProof/>
          <w:color w:val="auto"/>
          <w:lang w:val="en-GB"/>
        </w:rPr>
        <w:t xml:space="preserve"> Key areas of research for the 5 target areas</w:t>
      </w:r>
    </w:p>
    <w:p w14:paraId="1050C2C7"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The information mentioned above suggests that the Ahmadiyya community in the five target areas face two key issues:</w:t>
      </w:r>
    </w:p>
    <w:p w14:paraId="054CF92E" w14:textId="77777777" w:rsidR="00194740" w:rsidRPr="00194740" w:rsidRDefault="00194740" w:rsidP="00194740">
      <w:pPr>
        <w:numPr>
          <w:ilvl w:val="0"/>
          <w:numId w:val="36"/>
        </w:numPr>
        <w:spacing w:after="120" w:line="276" w:lineRule="auto"/>
        <w:contextualSpacing/>
        <w:rPr>
          <w:rFonts w:ascii="Calibri" w:hAnsi="Calibri"/>
          <w:noProof/>
          <w:color w:val="auto"/>
          <w:lang w:val="en-GB"/>
        </w:rPr>
      </w:pPr>
      <w:r w:rsidRPr="00194740">
        <w:rPr>
          <w:rFonts w:ascii="Calibri" w:hAnsi="Calibri"/>
          <w:noProof/>
          <w:color w:val="auto"/>
          <w:lang w:val="en-GB"/>
        </w:rPr>
        <w:t xml:space="preserve">Limited access to their places of worship. Although construction of those mosques in many cases has obtained all the necessary legal documents, members of Ahmadiyya communities are often not able to use the mosques. In many cases, Ahmadiyya mosques were attacked and destroyed by vigilante </w:t>
      </w:r>
      <w:r w:rsidRPr="00194740">
        <w:rPr>
          <w:rFonts w:ascii="Calibri" w:hAnsi="Calibri"/>
          <w:noProof/>
          <w:color w:val="auto"/>
          <w:lang w:val="en-GB"/>
        </w:rPr>
        <w:lastRenderedPageBreak/>
        <w:t xml:space="preserve">groups. While those attackers remain unpunished, law enforcement agencies are failing to protect the Ahmadiyya community. They have instead created a tense situation by sealing Ahmadiyya’s mosques using the Joint Ministerial Decree, West Java Governor Regulation and the MUI Fatwa against Ahmadiyya. </w:t>
      </w:r>
    </w:p>
    <w:p w14:paraId="7500059E" w14:textId="77777777" w:rsidR="00194740" w:rsidRPr="00194740" w:rsidRDefault="00194740" w:rsidP="00194740">
      <w:pPr>
        <w:numPr>
          <w:ilvl w:val="0"/>
          <w:numId w:val="36"/>
        </w:numPr>
        <w:spacing w:after="120"/>
        <w:contextualSpacing/>
        <w:rPr>
          <w:rFonts w:ascii="Calibri" w:hAnsi="Calibri"/>
          <w:noProof/>
          <w:color w:val="auto"/>
          <w:lang w:val="en-GB"/>
        </w:rPr>
      </w:pPr>
      <w:r w:rsidRPr="00194740">
        <w:rPr>
          <w:rFonts w:ascii="Calibri" w:hAnsi="Calibri"/>
          <w:noProof/>
          <w:color w:val="auto"/>
          <w:lang w:val="en-GB"/>
        </w:rPr>
        <w:t>Discrimination from the Indonesian government. In an area like Manislor, Kuningan, about 20% of the population have migrated due to difficulties in obtaining identification cards. Many of these individuals were barred from registering their marriage as they do not possess valid identification documents. No Indonesian citizen, including members of Ahmadiyya community, should be discriminated against in obtaining a national ID card. This document is essential for other civil registrations such as birth certificates, marriage and death certificates.</w:t>
      </w:r>
    </w:p>
    <w:p w14:paraId="1CE4692C"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 xml:space="preserve">We are aware that while this research is limited to examining these five areas in West Java, there are other places in Indonesia with big communities of Ahmadis facing similar problems. Mataram in Lombok is a hot spot area, but also the province of Bangka Belitung is hot spot area. Below we will describe two very recent incidences to demonstrate the extent of the problem in other areas. The below case studies are examples that show the problems of Ahmadiyya community outside West Java, which are not only attacks against their places of worship but also forced eviction. </w:t>
      </w:r>
    </w:p>
    <w:p w14:paraId="01A390AF" w14:textId="77777777" w:rsidR="00194740" w:rsidRPr="00194740" w:rsidRDefault="00194740" w:rsidP="00194740">
      <w:pPr>
        <w:keepNext/>
        <w:spacing w:before="180" w:after="180" w:line="360" w:lineRule="exact"/>
        <w:contextualSpacing/>
        <w:jc w:val="left"/>
        <w:outlineLvl w:val="1"/>
        <w:rPr>
          <w:rFonts w:ascii="Cambria" w:eastAsia="MS Gothic" w:hAnsi="Cambria"/>
          <w:bCs/>
          <w:i/>
          <w:iCs/>
          <w:noProof/>
          <w:color w:val="auto"/>
          <w:spacing w:val="10"/>
          <w:kern w:val="32"/>
          <w:sz w:val="32"/>
          <w:szCs w:val="28"/>
          <w:shd w:val="clear" w:color="auto" w:fill="FFFFFF"/>
          <w:lang w:val="en-GB"/>
        </w:rPr>
      </w:pPr>
      <w:r w:rsidRPr="00194740">
        <w:rPr>
          <w:rFonts w:ascii="Cambria" w:eastAsia="MS Gothic" w:hAnsi="Cambria"/>
          <w:bCs/>
          <w:i/>
          <w:iCs/>
          <w:noProof/>
          <w:color w:val="auto"/>
          <w:spacing w:val="10"/>
          <w:kern w:val="32"/>
          <w:sz w:val="32"/>
          <w:szCs w:val="28"/>
          <w:shd w:val="clear" w:color="auto" w:fill="FFFFFF"/>
          <w:lang w:val="en-GB"/>
        </w:rPr>
        <w:t>Case Studies</w:t>
      </w:r>
    </w:p>
    <w:p w14:paraId="7AF238ED"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Two short case studies of recent violence towards Ahmadiyya that made the national news are described to showcase what happens on an occasional basis to the Ahmadiyya community in Indonesia.</w:t>
      </w:r>
    </w:p>
    <w:p w14:paraId="397ED482"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Case Study 1: Mob attack on an Ahmadi mosque in Ringinarum, a subdistrict of Kendal in Central Java, on 23/05/2016</w:t>
      </w:r>
    </w:p>
    <w:p w14:paraId="51AB60B5"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On 23 May 2016, Al Kautsar Mosque, a place of worship belonging to Ahmadiyya community in Purworejo village, Ringinarum District, Kendal, Central Java, was attacked by a group of unidentified people.</w:t>
      </w:r>
      <w:r w:rsidRPr="00194740">
        <w:rPr>
          <w:rFonts w:ascii="Calibri" w:eastAsia="MS Mincho" w:hAnsi="Calibri"/>
          <w:noProof/>
          <w:color w:val="auto"/>
          <w:sz w:val="18"/>
          <w:vertAlign w:val="superscript"/>
          <w:lang w:val="en-GB"/>
        </w:rPr>
        <w:footnoteReference w:id="33"/>
      </w:r>
      <w:r w:rsidRPr="00194740">
        <w:rPr>
          <w:rFonts w:ascii="Calibri" w:hAnsi="Calibri"/>
          <w:noProof/>
          <w:color w:val="auto"/>
          <w:lang w:val="en-GB"/>
        </w:rPr>
        <w:t xml:space="preserve"> The attack damaged the roof, walls and doors of the mosque and Korans were thrown on the floor. According to the Head of Al Kautsar mosque local committee, the incident caused material losses that were estimated at approximately Rp 200 million (approximately US$ 15000).</w:t>
      </w:r>
      <w:r w:rsidRPr="00194740">
        <w:rPr>
          <w:rFonts w:ascii="Calibri" w:eastAsia="MS Mincho" w:hAnsi="Calibri"/>
          <w:noProof/>
          <w:color w:val="auto"/>
          <w:sz w:val="18"/>
          <w:vertAlign w:val="superscript"/>
          <w:lang w:val="en-GB"/>
        </w:rPr>
        <w:footnoteReference w:id="34"/>
      </w:r>
      <w:r w:rsidRPr="00194740">
        <w:rPr>
          <w:rFonts w:ascii="Calibri" w:hAnsi="Calibri"/>
          <w:noProof/>
          <w:color w:val="auto"/>
          <w:lang w:val="en-GB"/>
        </w:rPr>
        <w:t xml:space="preserve"> The attack occurred after local officials revealed that people opposed the existence of the mosque despite the fact that the construction of the mosque was in accordance to a house of worship permit and a deed that was obtained in 2004.</w:t>
      </w:r>
      <w:r w:rsidRPr="00194740">
        <w:rPr>
          <w:rFonts w:ascii="Calibri" w:eastAsia="MS Mincho" w:hAnsi="Calibri"/>
          <w:noProof/>
          <w:color w:val="auto"/>
          <w:sz w:val="18"/>
          <w:vertAlign w:val="superscript"/>
          <w:lang w:val="en-GB"/>
        </w:rPr>
        <w:footnoteReference w:id="35"/>
      </w:r>
      <w:r w:rsidRPr="00194740">
        <w:rPr>
          <w:rFonts w:ascii="Calibri" w:hAnsi="Calibri"/>
          <w:noProof/>
          <w:color w:val="auto"/>
          <w:lang w:val="en-GB"/>
        </w:rPr>
        <w:t xml:space="preserve"> According to the director of Religion and Social Study Institute (eLSA) Semarang, until 2006 it was not required to obtain an approval from local residents to build a house of worship until the Joint Ministerial Decree was issued.</w:t>
      </w:r>
      <w:r w:rsidRPr="00194740">
        <w:rPr>
          <w:rFonts w:ascii="Calibri" w:eastAsia="MS Mincho" w:hAnsi="Calibri"/>
          <w:noProof/>
          <w:color w:val="auto"/>
          <w:sz w:val="18"/>
          <w:vertAlign w:val="superscript"/>
          <w:lang w:val="en-GB"/>
        </w:rPr>
        <w:footnoteReference w:id="36"/>
      </w:r>
      <w:r w:rsidRPr="00194740">
        <w:rPr>
          <w:rFonts w:ascii="Calibri" w:hAnsi="Calibri"/>
          <w:noProof/>
          <w:color w:val="auto"/>
          <w:lang w:val="en-GB"/>
        </w:rPr>
        <w:t xml:space="preserve"> The motives of the attack are unknown. Before the incident, social interactions between the local people in Purworejo village and the members of Ahmadiyya in Purworejo village were maintained. There are approximately 100 followers of Ahmadiyya in the village and 88 of them are officially registered.</w:t>
      </w:r>
      <w:r w:rsidRPr="00194740">
        <w:rPr>
          <w:rFonts w:ascii="Calibri" w:eastAsia="MS Mincho" w:hAnsi="Calibri"/>
          <w:noProof/>
          <w:color w:val="auto"/>
          <w:sz w:val="18"/>
          <w:vertAlign w:val="superscript"/>
          <w:lang w:val="en-GB"/>
        </w:rPr>
        <w:footnoteReference w:id="37"/>
      </w:r>
      <w:r w:rsidRPr="00194740">
        <w:rPr>
          <w:rFonts w:ascii="Calibri" w:hAnsi="Calibri"/>
          <w:noProof/>
          <w:color w:val="auto"/>
          <w:lang w:val="en-GB"/>
        </w:rPr>
        <w:t xml:space="preserve"> Ahmadiyya in Kendal is a mass </w:t>
      </w:r>
      <w:r w:rsidRPr="00194740">
        <w:rPr>
          <w:rFonts w:ascii="Calibri" w:hAnsi="Calibri"/>
          <w:noProof/>
          <w:color w:val="auto"/>
          <w:lang w:val="en-GB"/>
        </w:rPr>
        <w:lastRenderedPageBreak/>
        <w:t>organisation that is legally registered.</w:t>
      </w:r>
    </w:p>
    <w:p w14:paraId="36A9E5A8" w14:textId="77777777" w:rsidR="00194740" w:rsidRPr="00194740" w:rsidRDefault="00194740" w:rsidP="00194740">
      <w:pPr>
        <w:keepNext/>
        <w:spacing w:before="120" w:after="120" w:line="360" w:lineRule="exact"/>
        <w:contextualSpacing/>
        <w:outlineLvl w:val="3"/>
        <w:rPr>
          <w:rFonts w:ascii="Calibri" w:eastAsia="MS Mincho" w:hAnsi="Calibri" w:cs="Arial"/>
          <w:b/>
          <w:bCs/>
          <w:noProof/>
          <w:color w:val="auto"/>
          <w:lang w:val="en-GB"/>
        </w:rPr>
      </w:pPr>
      <w:r w:rsidRPr="00194740">
        <w:rPr>
          <w:rFonts w:ascii="Calibri" w:eastAsia="MS Mincho" w:hAnsi="Calibri" w:cs="Arial"/>
          <w:b/>
          <w:bCs/>
          <w:noProof/>
          <w:color w:val="auto"/>
          <w:lang w:val="en-GB"/>
        </w:rPr>
        <w:t>Case Study 2: Expulsion of Ahmadiyya communities from Bangka Belitung on 15/12/2015</w:t>
      </w:r>
    </w:p>
    <w:p w14:paraId="2EDC3912"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 xml:space="preserve">On January 2016, approximately 12 members of the Ahmadiyya community, mostly women and children had to be evacuated from their homes in Srimenanti village, Bangka Island, Bangka Belitung Island province. The evacuation occurred after the local government of Bangka regency issued an order to the Ahmadiyya members either to convert to Sunni Islam or to face forced eviction from Srimenanti village. The order to evict Ahmadiyya members was arranged by the regent himself with local Bangka secretary, Bangka head of the district military command and a radical group, Hizbut Tahrir. The representative of the local community submitted a petition signed by 300 people refusing the Ahmadiyya community in their area. </w:t>
      </w:r>
    </w:p>
    <w:p w14:paraId="5186359D"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 total, six Ahmadiyya families lived in the district and 17 Ahmadiyya families lived in the regency. The spokesperson for Jemaah Ahmadiyya Indonesia (JAI) informed that the issue was regarding difficulties of Ahmadiyya members to obtain ID cards as there were pressures from the local community.</w:t>
      </w:r>
      <w:r w:rsidRPr="00194740">
        <w:rPr>
          <w:rFonts w:ascii="Calibri" w:eastAsia="MS Mincho" w:hAnsi="Calibri"/>
          <w:noProof/>
          <w:color w:val="auto"/>
          <w:vertAlign w:val="superscript"/>
          <w:lang w:val="en-GB"/>
        </w:rPr>
        <w:footnoteReference w:id="38"/>
      </w:r>
      <w:r w:rsidRPr="00194740">
        <w:rPr>
          <w:rFonts w:ascii="Calibri" w:hAnsi="Calibri"/>
          <w:noProof/>
          <w:color w:val="auto"/>
          <w:lang w:val="en-GB"/>
        </w:rPr>
        <w:t xml:space="preserve"> Prior to the eviction, members of Ahmadiyya faced months of harassment and intimidation by the local authorities, police officers and radical Muslim groups.</w:t>
      </w:r>
      <w:r w:rsidRPr="00194740">
        <w:rPr>
          <w:rFonts w:ascii="Calibri" w:eastAsia="MS Mincho" w:hAnsi="Calibri"/>
          <w:noProof/>
          <w:color w:val="auto"/>
          <w:vertAlign w:val="superscript"/>
          <w:lang w:val="en-GB"/>
        </w:rPr>
        <w:footnoteReference w:id="39"/>
      </w:r>
      <w:r w:rsidRPr="00194740">
        <w:rPr>
          <w:rFonts w:ascii="Calibri" w:hAnsi="Calibri"/>
          <w:noProof/>
          <w:color w:val="auto"/>
          <w:lang w:val="en-GB"/>
        </w:rPr>
        <w:t xml:space="preserve"> Home Affairs Minister Tjahjo Kumolo objected  the plan to evict the Ahmadiyya community, however the Minister’s objections were ignored by the Bangka Regent. The Ahmadiyya members were given until 5 February 2016 to leave their homes. Those who chose to remain in the village faced constant intimidation and threats from local residents.</w:t>
      </w:r>
    </w:p>
    <w:p w14:paraId="24C3AC37" w14:textId="77777777" w:rsidR="00194740" w:rsidRPr="00194740" w:rsidRDefault="00194740" w:rsidP="00194740">
      <w:pPr>
        <w:keepNext/>
        <w:spacing w:before="240" w:after="120" w:line="240" w:lineRule="auto"/>
        <w:jc w:val="left"/>
        <w:outlineLvl w:val="0"/>
        <w:rPr>
          <w:rFonts w:ascii="Cambria" w:hAnsi="Cambria"/>
          <w:b/>
          <w:caps/>
          <w:noProof/>
          <w:color w:val="EFA261"/>
          <w:spacing w:val="20"/>
          <w:kern w:val="32"/>
          <w:sz w:val="40"/>
          <w:szCs w:val="40"/>
          <w:shd w:val="clear" w:color="auto" w:fill="FFFFFF"/>
          <w:lang w:val="en-GB"/>
        </w:rPr>
      </w:pPr>
      <w:r w:rsidRPr="00194740">
        <w:rPr>
          <w:rFonts w:ascii="Cambria" w:hAnsi="Cambria"/>
          <w:b/>
          <w:caps/>
          <w:noProof/>
          <w:color w:val="EFA261"/>
          <w:spacing w:val="20"/>
          <w:kern w:val="32"/>
          <w:sz w:val="40"/>
          <w:szCs w:val="40"/>
          <w:shd w:val="clear" w:color="auto" w:fill="FFFFFF"/>
          <w:lang w:val="en-GB"/>
        </w:rPr>
        <w:t>Rule of law and politics</w:t>
      </w:r>
    </w:p>
    <w:p w14:paraId="01B28E34"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right to freedom of religion in Indonesia is guaranteed in the Constitution of 1945 in Articles 28E and 28I, and Article 29. Article 29(2) explicitly protects the right to freedom of religion in which ‘the State guarantees all persons the freedom of religion and worship, each according to his or her religion and belief’. Article 28E (1) and (2) protects citizens to protect and profess their religion or belief.</w:t>
      </w:r>
      <w:r w:rsidRPr="00194740">
        <w:rPr>
          <w:rFonts w:ascii="Calibri" w:hAnsi="Calibri"/>
          <w:noProof/>
          <w:color w:val="auto"/>
          <w:sz w:val="18"/>
          <w:vertAlign w:val="superscript"/>
          <w:lang w:val="en-GB"/>
        </w:rPr>
        <w:footnoteReference w:id="40"/>
      </w:r>
      <w:r w:rsidRPr="00194740">
        <w:rPr>
          <w:rFonts w:ascii="Calibri" w:hAnsi="Calibri"/>
          <w:noProof/>
          <w:color w:val="auto"/>
          <w:lang w:val="en-GB"/>
        </w:rPr>
        <w:t xml:space="preserve"> The 1945 Constitution is not the only legal framework in Indonesia that protects freedom of religion. The Law No. 39/1999 on Human Rights also provides protection to this right in Articles 4 and 22.</w:t>
      </w:r>
      <w:r w:rsidRPr="00194740">
        <w:rPr>
          <w:rFonts w:ascii="Calibri" w:hAnsi="Calibri"/>
          <w:noProof/>
          <w:color w:val="auto"/>
          <w:sz w:val="18"/>
          <w:vertAlign w:val="superscript"/>
          <w:lang w:val="en-GB"/>
        </w:rPr>
        <w:footnoteReference w:id="41"/>
      </w:r>
      <w:r w:rsidRPr="00194740">
        <w:rPr>
          <w:rFonts w:ascii="Calibri" w:hAnsi="Calibri"/>
          <w:noProof/>
          <w:color w:val="auto"/>
          <w:lang w:val="en-GB"/>
        </w:rPr>
        <w:t xml:space="preserve"> Article 4, for instance, upholds that the right to freedom of religion is one of the fundamental rights that cannot be diminished under any circumstances.</w:t>
      </w:r>
    </w:p>
    <w:p w14:paraId="3A061AA9" w14:textId="77777777" w:rsidR="00194740" w:rsidRPr="00194740" w:rsidRDefault="00194740" w:rsidP="00194740">
      <w:pPr>
        <w:spacing w:after="120" w:line="276" w:lineRule="auto"/>
        <w:rPr>
          <w:rFonts w:ascii="Times New Roman" w:hAnsi="Times New Roman"/>
          <w:noProof/>
          <w:color w:val="auto"/>
          <w:sz w:val="24"/>
          <w:lang w:val="en-GB"/>
        </w:rPr>
      </w:pPr>
      <w:r w:rsidRPr="00194740">
        <w:rPr>
          <w:rFonts w:ascii="Calibri" w:hAnsi="Calibri"/>
          <w:noProof/>
          <w:color w:val="auto"/>
          <w:lang w:val="en-GB"/>
        </w:rPr>
        <w:t xml:space="preserve">In 1999, the State’s intention to protect freedom of religion in Indonesia developed further as it ratified the International Convention on the Eradication of any Form of Racial Discrimination (ICERD), which guarantees equality before the law in the enjoyment of, among others, the right to freedom of thought, conscience and </w:t>
      </w:r>
      <w:r w:rsidRPr="00194740">
        <w:rPr>
          <w:rFonts w:ascii="Calibri" w:hAnsi="Calibri"/>
          <w:noProof/>
          <w:color w:val="auto"/>
          <w:lang w:val="en-GB"/>
        </w:rPr>
        <w:lastRenderedPageBreak/>
        <w:t>religion.</w:t>
      </w:r>
      <w:r w:rsidRPr="00194740">
        <w:rPr>
          <w:rFonts w:ascii="Calibri" w:eastAsia="MS Mincho" w:hAnsi="Calibri"/>
          <w:noProof/>
          <w:color w:val="auto"/>
          <w:vertAlign w:val="superscript"/>
          <w:lang w:val="en-GB"/>
        </w:rPr>
        <w:footnoteReference w:id="42"/>
      </w:r>
      <w:r w:rsidRPr="00194740">
        <w:rPr>
          <w:rFonts w:ascii="Calibri" w:eastAsia="MS Mincho" w:hAnsi="Calibri"/>
          <w:noProof/>
          <w:color w:val="auto"/>
          <w:vertAlign w:val="superscript"/>
          <w:lang w:val="en-GB"/>
        </w:rPr>
        <w:t xml:space="preserve"> </w:t>
      </w:r>
      <w:r w:rsidRPr="00194740">
        <w:rPr>
          <w:rFonts w:ascii="Calibri" w:hAnsi="Calibri"/>
          <w:noProof/>
          <w:color w:val="auto"/>
          <w:lang w:val="en-GB"/>
        </w:rPr>
        <w:t xml:space="preserve">Moreover, in 2006, Indonesia became a State party to the ICCPR and simultaneously, the International Covenant on Economic, Social and Cultural Rights (ICESCR). These two human rights treaties are applied into Indonesian legal system through Law No. 11/2005 on the ICESCR </w:t>
      </w:r>
      <w:r w:rsidRPr="00194740">
        <w:rPr>
          <w:rFonts w:ascii="Calibri" w:hAnsi="Calibri"/>
          <w:i/>
          <w:noProof/>
          <w:color w:val="auto"/>
          <w:lang w:val="en-GB"/>
        </w:rPr>
        <w:t>(Undang-Undang No. 11 Tahun 2005 tentang Pengesahan Kovenan Internasional tentang Hak-Hak Ekonomi, Sosial dan Budaya) and Law No. 12/2005 on the ICCPR (Undang-Undang No. 12 Tahun 2005 tentang Pengesahan Kovenan Internasional tentang Hak-Hak Sipil dan Politik).</w:t>
      </w:r>
      <w:r w:rsidRPr="00194740">
        <w:rPr>
          <w:rFonts w:ascii="Times New Roman" w:hAnsi="Times New Roman"/>
          <w:noProof/>
          <w:color w:val="auto"/>
          <w:sz w:val="24"/>
          <w:lang w:val="en-GB"/>
        </w:rPr>
        <w:t xml:space="preserve"> </w:t>
      </w:r>
      <w:r w:rsidRPr="00194740">
        <w:rPr>
          <w:rFonts w:ascii="Calibri" w:hAnsi="Calibri"/>
          <w:noProof/>
          <w:color w:val="auto"/>
          <w:lang w:val="en-GB"/>
        </w:rPr>
        <w:t>The enactment of these laws shows that the Government is not only bound by the Constitution but also by the international human rights law and national laws on human rights regarding freedom of religion.</w:t>
      </w:r>
    </w:p>
    <w:p w14:paraId="1739A0F6"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 practice, however, such legal frameworks do not always reflect on how the Government protects freedom of religion within its territory. It can be seen from the number of discriminatory laws and local regulations that have enabled discrimination against religious minority groups. Freedom of religion or belief protects individuals to hold or to change one’s religion or belief, in which cannot be restricted under any circumstances.</w:t>
      </w:r>
      <w:r w:rsidRPr="00194740">
        <w:rPr>
          <w:rFonts w:ascii="Calibri" w:eastAsia="MS Mincho" w:hAnsi="Calibri"/>
          <w:noProof/>
          <w:color w:val="auto"/>
          <w:vertAlign w:val="superscript"/>
          <w:lang w:val="en-GB"/>
        </w:rPr>
        <w:footnoteReference w:id="43"/>
      </w:r>
      <w:r w:rsidRPr="00194740">
        <w:rPr>
          <w:rFonts w:ascii="Calibri" w:hAnsi="Calibri"/>
          <w:noProof/>
          <w:color w:val="auto"/>
          <w:lang w:val="en-GB"/>
        </w:rPr>
        <w:t xml:space="preserve"> Under Article 9(2) of the ECHR and Article 18(3) of the ICCPR, the implementation of the second right can be restricted in a democratic society but those restrictions shall be prescribed by law in order to maintain public safety, public health or morals or for the protection of the rights and freedoms of others.</w:t>
      </w:r>
      <w:r w:rsidRPr="00194740">
        <w:rPr>
          <w:rFonts w:ascii="Calibri" w:eastAsia="MS Mincho" w:hAnsi="Calibri"/>
          <w:noProof/>
          <w:color w:val="auto"/>
          <w:vertAlign w:val="superscript"/>
          <w:lang w:val="en-GB"/>
        </w:rPr>
        <w:footnoteReference w:id="44"/>
      </w:r>
      <w:r w:rsidRPr="00194740">
        <w:rPr>
          <w:rFonts w:ascii="Calibri" w:hAnsi="Calibri"/>
          <w:noProof/>
          <w:color w:val="auto"/>
          <w:lang w:val="en-GB"/>
        </w:rPr>
        <w:t xml:space="preserve"> The government undeniably has the authority to set permissible limitations on freedom of religion. Such restrictions however can only be applied in particular circumstances.</w:t>
      </w:r>
      <w:r w:rsidRPr="00194740">
        <w:rPr>
          <w:rFonts w:ascii="Calibri" w:hAnsi="Calibri"/>
          <w:noProof/>
          <w:color w:val="auto"/>
          <w:sz w:val="18"/>
          <w:vertAlign w:val="superscript"/>
          <w:lang w:val="en-GB"/>
        </w:rPr>
        <w:footnoteReference w:id="45"/>
      </w:r>
      <w:r w:rsidRPr="00194740">
        <w:rPr>
          <w:rFonts w:ascii="Calibri" w:hAnsi="Calibri"/>
          <w:noProof/>
          <w:color w:val="auto"/>
          <w:lang w:val="en-GB"/>
        </w:rPr>
        <w:t xml:space="preserve"> This means that such restriction can only be issued based on a reasonable relationship between the objectives of the restriction and the means used to accomplish those objectives.</w:t>
      </w:r>
      <w:r w:rsidRPr="00194740">
        <w:rPr>
          <w:rFonts w:ascii="Calibri" w:eastAsia="MS Mincho" w:hAnsi="Calibri"/>
          <w:noProof/>
          <w:color w:val="auto"/>
          <w:vertAlign w:val="superscript"/>
          <w:lang w:val="en-GB"/>
        </w:rPr>
        <w:footnoteReference w:id="46"/>
      </w:r>
      <w:r w:rsidRPr="00194740">
        <w:rPr>
          <w:rFonts w:ascii="Calibri" w:hAnsi="Calibri"/>
          <w:noProof/>
          <w:color w:val="auto"/>
          <w:vertAlign w:val="superscript"/>
          <w:lang w:val="en-GB"/>
        </w:rPr>
        <w:t xml:space="preserve"> </w:t>
      </w:r>
      <w:r w:rsidRPr="00194740">
        <w:rPr>
          <w:rFonts w:ascii="Calibri" w:hAnsi="Calibri"/>
          <w:noProof/>
          <w:color w:val="auto"/>
          <w:lang w:val="en-GB"/>
        </w:rPr>
        <w:t>Every state has different approach to managing religion within its territory, when religious violence occurs, it validates state intervention to control how religion should be presented, preached and, in some circumstances, limited.</w:t>
      </w:r>
      <w:r w:rsidRPr="00194740">
        <w:rPr>
          <w:rFonts w:ascii="Calibri" w:eastAsia="MS Mincho" w:hAnsi="Calibri"/>
          <w:noProof/>
          <w:color w:val="auto"/>
          <w:lang w:val="en-GB"/>
        </w:rPr>
        <w:footnoteReference w:id="47"/>
      </w:r>
      <w:r w:rsidRPr="00194740">
        <w:rPr>
          <w:rFonts w:ascii="Calibri" w:hAnsi="Calibri"/>
          <w:noProof/>
          <w:color w:val="auto"/>
          <w:lang w:val="en-GB"/>
        </w:rPr>
        <w:t xml:space="preserve"> Indonesia has managed religion by altering religious practices more focused on a matter of state-administration than spirituality, especially after the authoritarian regime collapsed in 1965.</w:t>
      </w:r>
      <w:r w:rsidRPr="00194740">
        <w:rPr>
          <w:rFonts w:ascii="Calibri" w:eastAsia="MS Mincho" w:hAnsi="Calibri"/>
          <w:noProof/>
          <w:color w:val="auto"/>
          <w:lang w:val="en-GB"/>
        </w:rPr>
        <w:footnoteReference w:id="48"/>
      </w:r>
      <w:r w:rsidRPr="00194740">
        <w:rPr>
          <w:rFonts w:ascii="Calibri" w:hAnsi="Calibri"/>
          <w:noProof/>
          <w:color w:val="auto"/>
          <w:lang w:val="en-GB"/>
        </w:rPr>
        <w:t xml:space="preserve"> Four regulations in particular reflect the State’s attitude towards religion, namely the Law No. 1/PNPS/1965 or known as the Blasphemy Law, the Joint Ministerial Decree on Houses of Worship No. 2/2008 and other discriminatory regional regulations. In brief, these laws and regulations stipulate that individuals are not allowed to proselytize other citizens and have to follow one of the six official religions that are recognised by the Government.</w:t>
      </w:r>
    </w:p>
    <w:p w14:paraId="18E0C680" w14:textId="77777777" w:rsidR="00194740" w:rsidRPr="00194740" w:rsidRDefault="00194740" w:rsidP="00194740">
      <w:pPr>
        <w:keepNext/>
        <w:spacing w:before="180" w:after="180" w:line="360" w:lineRule="exact"/>
        <w:contextualSpacing/>
        <w:jc w:val="left"/>
        <w:outlineLvl w:val="1"/>
        <w:rPr>
          <w:rFonts w:ascii="Cambria" w:eastAsia="MS Gothic" w:hAnsi="Cambria"/>
          <w:bCs/>
          <w:i/>
          <w:iCs/>
          <w:noProof/>
          <w:color w:val="auto"/>
          <w:spacing w:val="10"/>
          <w:kern w:val="32"/>
          <w:sz w:val="32"/>
          <w:szCs w:val="28"/>
          <w:shd w:val="clear" w:color="auto" w:fill="FFFFFF"/>
          <w:lang w:val="en-GB"/>
        </w:rPr>
      </w:pPr>
      <w:r w:rsidRPr="00194740">
        <w:rPr>
          <w:rFonts w:ascii="Cambria" w:eastAsia="MS Gothic" w:hAnsi="Cambria"/>
          <w:bCs/>
          <w:i/>
          <w:iCs/>
          <w:noProof/>
          <w:color w:val="auto"/>
          <w:spacing w:val="10"/>
          <w:kern w:val="32"/>
          <w:sz w:val="32"/>
          <w:szCs w:val="28"/>
          <w:shd w:val="clear" w:color="auto" w:fill="FFFFFF"/>
          <w:lang w:val="en-GB"/>
        </w:rPr>
        <w:t>Discriminatory laws and inconsistent regulations</w:t>
      </w:r>
    </w:p>
    <w:p w14:paraId="022BDAC5" w14:textId="77777777" w:rsidR="00194740" w:rsidRPr="00194740" w:rsidRDefault="00194740" w:rsidP="00194740">
      <w:pPr>
        <w:spacing w:after="120"/>
        <w:rPr>
          <w:rFonts w:ascii="Calibri" w:hAnsi="Calibri"/>
          <w:noProof/>
          <w:color w:val="auto"/>
          <w:u w:val="single"/>
          <w:lang w:val="en-GB"/>
        </w:rPr>
      </w:pPr>
      <w:r w:rsidRPr="00194740">
        <w:rPr>
          <w:rFonts w:ascii="Calibri" w:hAnsi="Calibri"/>
          <w:noProof/>
          <w:color w:val="auto"/>
          <w:u w:val="single"/>
          <w:lang w:val="en-GB"/>
        </w:rPr>
        <w:t>The Blasphemy Law</w:t>
      </w:r>
    </w:p>
    <w:p w14:paraId="677468DE"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The Blasphemy Law or known as the Law No. 1/PNPS/1965/“</w:t>
      </w:r>
      <w:r w:rsidRPr="00194740">
        <w:rPr>
          <w:rFonts w:ascii="Calibri" w:hAnsi="Calibri"/>
          <w:i/>
          <w:noProof/>
          <w:color w:val="auto"/>
          <w:lang w:val="en-GB"/>
        </w:rPr>
        <w:t>Undang-Undang Penodaan Agama</w:t>
      </w:r>
      <w:r w:rsidRPr="00194740">
        <w:rPr>
          <w:rFonts w:ascii="Calibri" w:hAnsi="Calibri"/>
          <w:noProof/>
          <w:color w:val="auto"/>
          <w:lang w:val="en-GB"/>
        </w:rPr>
        <w:t>” was passed in 1965 by the first president of Indonesia, President Sukarno. The law was later incorporated in Article 156a of the Indonesia Criminal Code. It prohibits individuals to commit hostilities, hatred or contempt against a religion in Indonesia</w:t>
      </w:r>
      <w:r w:rsidRPr="00194740">
        <w:rPr>
          <w:rFonts w:ascii="Calibri" w:eastAsia="MS Mincho" w:hAnsi="Calibri"/>
          <w:noProof/>
          <w:color w:val="auto"/>
          <w:vertAlign w:val="superscript"/>
          <w:lang w:val="en-GB"/>
        </w:rPr>
        <w:footnoteReference w:id="49"/>
      </w:r>
      <w:r w:rsidRPr="00194740">
        <w:rPr>
          <w:rFonts w:ascii="Calibri" w:hAnsi="Calibri"/>
          <w:noProof/>
          <w:color w:val="auto"/>
          <w:vertAlign w:val="superscript"/>
          <w:lang w:val="en-GB"/>
        </w:rPr>
        <w:t xml:space="preserve"> </w:t>
      </w:r>
      <w:r w:rsidRPr="00194740">
        <w:rPr>
          <w:rFonts w:ascii="Calibri" w:hAnsi="Calibri"/>
          <w:noProof/>
          <w:color w:val="auto"/>
          <w:lang w:val="en-GB"/>
        </w:rPr>
        <w:t xml:space="preserve">and violations of the law are subject to up to five years in prison. The Blasphemy Law </w:t>
      </w:r>
      <w:r w:rsidRPr="00194740">
        <w:rPr>
          <w:rFonts w:ascii="Calibri" w:hAnsi="Calibri"/>
          <w:noProof/>
          <w:color w:val="auto"/>
          <w:lang w:val="en-GB"/>
        </w:rPr>
        <w:lastRenderedPageBreak/>
        <w:t>determines six official religions in Indonesia, which are Islam, Catholicism, Protestantism, Buddhism, Hinduism and Confucianism. Every citizen in Indonesia has to indicate their religion in their ID cards, in which the choice is limited to those six religions.</w:t>
      </w:r>
      <w:r w:rsidRPr="00194740">
        <w:rPr>
          <w:rFonts w:ascii="Times New Roman" w:hAnsi="Times New Roman"/>
          <w:noProof/>
          <w:color w:val="auto"/>
          <w:sz w:val="24"/>
          <w:lang w:val="en-GB"/>
        </w:rPr>
        <w:t xml:space="preserve"> </w:t>
      </w:r>
      <w:r w:rsidRPr="00194740">
        <w:rPr>
          <w:rFonts w:ascii="Calibri" w:hAnsi="Calibri"/>
          <w:noProof/>
          <w:color w:val="auto"/>
          <w:lang w:val="en-GB"/>
        </w:rPr>
        <w:t xml:space="preserve">Citizens of other religions that are not recognised by the government often face uncertainty in the process of obtaining their ID cards. The content of the Blasphemy Law contradicts with the values of international law as it is not in conformity with the concept of religious freedom in human rights treaties. Members of minority religions are more vulnerable to persecution and since its establishment, this law has been used to prosecute many followers of religious minorities. There was an attempt to evaluate it in the Constitutional Court, however in which the Court upheld the validity of the Law, so it can be expected that persecutions religious minorities could continue as long as this law still exists.  </w:t>
      </w:r>
    </w:p>
    <w:p w14:paraId="77E7FA6B" w14:textId="77777777" w:rsidR="00194740" w:rsidRPr="00194740" w:rsidRDefault="00194740" w:rsidP="00194740">
      <w:pPr>
        <w:spacing w:after="120"/>
        <w:rPr>
          <w:rFonts w:ascii="Calibri" w:hAnsi="Calibri"/>
          <w:noProof/>
          <w:color w:val="auto"/>
          <w:u w:val="single"/>
          <w:lang w:val="en-GB"/>
        </w:rPr>
      </w:pPr>
      <w:r w:rsidRPr="00194740">
        <w:rPr>
          <w:rFonts w:ascii="Calibri" w:hAnsi="Calibri"/>
          <w:noProof/>
          <w:color w:val="auto"/>
          <w:u w:val="single"/>
          <w:lang w:val="en-GB"/>
        </w:rPr>
        <w:t xml:space="preserve">The Joint Ministerial Decree No. 2 of 2008 and other Regulations </w:t>
      </w:r>
    </w:p>
    <w:p w14:paraId="197ECFB0"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Blasphemy Law has provoked the issuance of many discriminatory regulations that mostly marginalise religious minority groups, especially Ahmadiyya. An example is a Joint Ministerial Decree No. 3 of 2008 issued by the Minister of Religious Affairs, the Minister of Home Affairs and the Attorney General. These three government institutions are authorised under Indonesia law to warn a religious group that may be suspected of spreading ‘deviant’ religious teachings.</w:t>
      </w:r>
      <w:r w:rsidRPr="00194740">
        <w:rPr>
          <w:rFonts w:ascii="Calibri" w:hAnsi="Calibri"/>
          <w:noProof/>
          <w:color w:val="auto"/>
          <w:sz w:val="18"/>
          <w:vertAlign w:val="superscript"/>
          <w:lang w:val="en-GB"/>
        </w:rPr>
        <w:footnoteReference w:id="50"/>
      </w:r>
      <w:r w:rsidRPr="00194740">
        <w:rPr>
          <w:rFonts w:ascii="Calibri" w:hAnsi="Calibri"/>
          <w:noProof/>
          <w:color w:val="auto"/>
          <w:lang w:val="en-GB"/>
        </w:rPr>
        <w:t xml:space="preserve">  The Decree was passed due to pressure from radical groups and conservative institutions like the Indonesian Ulama Council (MUI) and Indonesia’s Coordinating Board for Monitoring Mystical Belief in Society (</w:t>
      </w:r>
      <w:r w:rsidRPr="00194740">
        <w:rPr>
          <w:rFonts w:ascii="Calibri" w:hAnsi="Calibri"/>
          <w:i/>
          <w:noProof/>
          <w:color w:val="auto"/>
          <w:lang w:val="en-GB"/>
        </w:rPr>
        <w:t xml:space="preserve">Badan Koordinasi Pengawas Aliran Kepercayaan Masyarakat / </w:t>
      </w:r>
      <w:r w:rsidRPr="00194740">
        <w:rPr>
          <w:rFonts w:ascii="Calibri" w:hAnsi="Calibri"/>
          <w:noProof/>
          <w:color w:val="auto"/>
          <w:lang w:val="en-GB"/>
        </w:rPr>
        <w:t>Bakor Pakem).</w:t>
      </w:r>
      <w:r w:rsidRPr="00194740">
        <w:rPr>
          <w:rFonts w:ascii="Calibri" w:eastAsia="MS Mincho" w:hAnsi="Calibri"/>
          <w:noProof/>
          <w:color w:val="auto"/>
          <w:vertAlign w:val="superscript"/>
          <w:lang w:val="en-GB"/>
        </w:rPr>
        <w:footnoteReference w:id="51"/>
      </w:r>
      <w:r w:rsidRPr="00194740">
        <w:rPr>
          <w:rFonts w:ascii="Calibri" w:hAnsi="Calibri"/>
          <w:noProof/>
          <w:color w:val="auto"/>
          <w:lang w:val="en-GB"/>
        </w:rPr>
        <w:t xml:space="preserve"> The decree orders the Ahmadiyya community to “stop spreading interpretations and activities which deviate from the principal teachings of Islam”, including “the spreading of the belief that there is another prophet with his own teachings after the Prophet Mohammed”.</w:t>
      </w:r>
      <w:r w:rsidRPr="00194740">
        <w:rPr>
          <w:rFonts w:ascii="Calibri" w:eastAsia="MS Mincho" w:hAnsi="Calibri"/>
          <w:noProof/>
          <w:color w:val="auto"/>
          <w:vertAlign w:val="superscript"/>
          <w:lang w:val="en-GB"/>
        </w:rPr>
        <w:footnoteReference w:id="52"/>
      </w:r>
      <w:r w:rsidRPr="00194740">
        <w:rPr>
          <w:rFonts w:ascii="Calibri" w:hAnsi="Calibri"/>
          <w:noProof/>
          <w:color w:val="auto"/>
          <w:lang w:val="en-GB"/>
        </w:rPr>
        <w:t xml:space="preserve"> Violations of the Decree are subject to penalties</w:t>
      </w:r>
      <w:r w:rsidRPr="00194740">
        <w:rPr>
          <w:rFonts w:ascii="Calibri" w:eastAsia="MS Mincho" w:hAnsi="Calibri"/>
          <w:noProof/>
          <w:color w:val="auto"/>
          <w:vertAlign w:val="superscript"/>
          <w:lang w:val="en-GB"/>
        </w:rPr>
        <w:footnoteReference w:id="53"/>
      </w:r>
      <w:r w:rsidRPr="00194740">
        <w:rPr>
          <w:rFonts w:ascii="Calibri" w:hAnsi="Calibri"/>
          <w:noProof/>
          <w:color w:val="auto"/>
          <w:lang w:val="en-GB"/>
        </w:rPr>
        <w:t xml:space="preserve"> that may include imprisonment for up to five years if convicted for blasphemy under Article 156a of the Indonesian Criminal Code. According to the Decree, local governments are obliged to take any necessary measures to maintain and supervise the implementation of the Decree.</w:t>
      </w:r>
      <w:r w:rsidRPr="00194740">
        <w:rPr>
          <w:rFonts w:ascii="Calibri" w:eastAsia="MS Mincho" w:hAnsi="Calibri"/>
          <w:noProof/>
          <w:color w:val="auto"/>
          <w:vertAlign w:val="superscript"/>
          <w:lang w:val="en-GB"/>
        </w:rPr>
        <w:footnoteReference w:id="54"/>
      </w:r>
      <w:r w:rsidRPr="00194740">
        <w:rPr>
          <w:rFonts w:ascii="Calibri" w:hAnsi="Calibri"/>
          <w:noProof/>
          <w:color w:val="auto"/>
          <w:lang w:val="en-GB"/>
        </w:rPr>
        <w:t xml:space="preserve"> This also includes providing adequate protection to the members of Ahmadiyya as Indonesian citizens.</w:t>
      </w:r>
    </w:p>
    <w:p w14:paraId="30F24D4F"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The fact is, this decree has failed to reduce discrimination and violence against Ahmadiyya members. The attack against Ahmadiyya community in 2011 in Cikeusik village, West Java, is an example of how this decree does not contribute to safeguard religious freedom of a minority group. The local government was unable to protect Ahmadiyya members in Cikeusik village from radical groups. This attack has caused in the death of three Ahmadiyya members, five others were injured and several properties of Ahmadiyya members were damaged by the violent mob. However, instead of using this accident to re-evaluate the protection of religious freedom in Indonesia, the Government continued to ban Ahmadiyya activities at the regional level. Since the 1970s, more than 40 cities, regencies or provinces have issued regulations that banning Ahmadiyya’s activities.</w:t>
      </w:r>
      <w:r w:rsidRPr="00194740">
        <w:rPr>
          <w:rFonts w:ascii="Calibri" w:eastAsia="MS Mincho" w:hAnsi="Calibri"/>
          <w:noProof/>
          <w:color w:val="auto"/>
          <w:vertAlign w:val="superscript"/>
          <w:lang w:val="en-GB"/>
        </w:rPr>
        <w:footnoteReference w:id="55"/>
      </w:r>
      <w:r w:rsidRPr="00194740">
        <w:rPr>
          <w:rFonts w:ascii="Calibri" w:hAnsi="Calibri"/>
          <w:noProof/>
          <w:color w:val="auto"/>
          <w:lang w:val="en-GB"/>
        </w:rPr>
        <w:t xml:space="preserve"> From 2008 and to 2011 alone, over 10 local regulations against Ahmadiyya </w:t>
      </w:r>
      <w:r w:rsidRPr="00194740">
        <w:rPr>
          <w:rFonts w:ascii="Calibri" w:hAnsi="Calibri"/>
          <w:noProof/>
          <w:color w:val="auto"/>
          <w:lang w:val="en-GB"/>
        </w:rPr>
        <w:lastRenderedPageBreak/>
        <w:t>communities have been issued</w:t>
      </w:r>
      <w:r w:rsidRPr="00194740">
        <w:rPr>
          <w:rFonts w:ascii="Calibri" w:eastAsia="MS Mincho" w:hAnsi="Calibri"/>
          <w:noProof/>
          <w:color w:val="auto"/>
          <w:vertAlign w:val="superscript"/>
          <w:lang w:val="en-GB"/>
        </w:rPr>
        <w:footnoteReference w:id="56"/>
      </w:r>
      <w:r w:rsidRPr="00194740">
        <w:rPr>
          <w:rFonts w:ascii="Calibri" w:hAnsi="Calibri"/>
          <w:noProof/>
          <w:color w:val="auto"/>
          <w:lang w:val="en-GB"/>
        </w:rPr>
        <w:t xml:space="preserve"> in 22 mayoralties and regencies in Indonesia, as well as in Banten, East Java, West Java, West Sumatera and South Sulawesi.</w:t>
      </w:r>
      <w:r w:rsidRPr="00194740">
        <w:rPr>
          <w:rFonts w:ascii="Calibri" w:eastAsia="MS Mincho" w:hAnsi="Calibri"/>
          <w:noProof/>
          <w:color w:val="auto"/>
          <w:vertAlign w:val="superscript"/>
          <w:lang w:val="en-GB"/>
        </w:rPr>
        <w:footnoteReference w:id="57"/>
      </w:r>
      <w:r w:rsidRPr="00194740">
        <w:rPr>
          <w:rFonts w:ascii="Calibri" w:hAnsi="Calibri"/>
          <w:noProof/>
          <w:color w:val="auto"/>
          <w:lang w:val="en-GB"/>
        </w:rPr>
        <w:t xml:space="preserve"> In March 2011, Governor of Banten passed a regulation that banning the activities of Ahmadiyya in Banten, a province in which the attack against Ahmadiyya community in Cikeusik occurred. The regulation refers to the Cikeusik attack as a call to restore social stability and safety to the community. </w:t>
      </w:r>
    </w:p>
    <w:p w14:paraId="5A8C9648" w14:textId="77777777" w:rsidR="00194740" w:rsidRPr="00194740" w:rsidRDefault="00194740" w:rsidP="00194740">
      <w:pPr>
        <w:spacing w:after="120"/>
        <w:rPr>
          <w:rFonts w:ascii="Calibri" w:hAnsi="Calibri"/>
          <w:noProof/>
          <w:color w:val="auto"/>
          <w:u w:val="single"/>
          <w:lang w:val="en-GB"/>
        </w:rPr>
      </w:pPr>
      <w:r w:rsidRPr="00194740">
        <w:rPr>
          <w:rFonts w:ascii="Calibri" w:hAnsi="Calibri"/>
          <w:noProof/>
          <w:color w:val="auto"/>
          <w:u w:val="single"/>
          <w:lang w:val="en-GB"/>
        </w:rPr>
        <w:t>MUI and its Fatwas Banning the Ahmadiyya</w:t>
      </w:r>
    </w:p>
    <w:p w14:paraId="5E6E260A"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 1975, during the Indonesian New Order under the Soeharto government an Indonesian Muslim clerical body called Indonesian Ulama Council (</w:t>
      </w:r>
      <w:r w:rsidRPr="00194740">
        <w:rPr>
          <w:rFonts w:ascii="Calibri" w:hAnsi="Calibri"/>
          <w:i/>
          <w:noProof/>
          <w:color w:val="auto"/>
          <w:lang w:val="en-GB"/>
        </w:rPr>
        <w:t>Majelis Ulama Indonesia</w:t>
      </w:r>
      <w:r w:rsidRPr="00194740">
        <w:rPr>
          <w:rFonts w:ascii="Calibri" w:hAnsi="Calibri"/>
          <w:noProof/>
          <w:color w:val="auto"/>
          <w:lang w:val="en-GB"/>
        </w:rPr>
        <w:t>/MUI) was established. The council gathers Muslim scholars from various Muslim groups, such as Nahdlatul Ulama (NU) and Muhammadiyah. Initially, the Government aimed to control the public expression of Islam through the establishment of the MUI.</w:t>
      </w:r>
      <w:r w:rsidRPr="00194740">
        <w:rPr>
          <w:rFonts w:ascii="Calibri" w:eastAsia="MS Mincho" w:hAnsi="Calibri"/>
          <w:noProof/>
          <w:color w:val="auto"/>
          <w:vertAlign w:val="superscript"/>
          <w:lang w:val="en-GB"/>
        </w:rPr>
        <w:footnoteReference w:id="58"/>
      </w:r>
      <w:r w:rsidRPr="00194740">
        <w:rPr>
          <w:rFonts w:ascii="Calibri" w:hAnsi="Calibri"/>
          <w:noProof/>
          <w:color w:val="auto"/>
          <w:lang w:val="en-GB"/>
        </w:rPr>
        <w:t xml:space="preserve"> The MUI therefore was designed as a body to ‘co-opt, fragment and neutralise Islam as an autonomous political force, regulate associational life’,</w:t>
      </w:r>
      <w:r w:rsidRPr="00194740">
        <w:rPr>
          <w:rFonts w:ascii="Calibri" w:eastAsia="MS Mincho" w:hAnsi="Calibri"/>
          <w:noProof/>
          <w:color w:val="auto"/>
          <w:vertAlign w:val="superscript"/>
          <w:lang w:val="en-GB"/>
        </w:rPr>
        <w:footnoteReference w:id="59"/>
      </w:r>
      <w:r w:rsidRPr="00194740">
        <w:rPr>
          <w:rFonts w:ascii="Calibri" w:hAnsi="Calibri"/>
          <w:noProof/>
          <w:color w:val="auto"/>
          <w:lang w:val="en-GB"/>
        </w:rPr>
        <w:t xml:space="preserve"> merely was a political tool to control Islamic opposition during the Soeharto regime. The main role of the MUI is to issue fatwas, Islamic legal opinion interpreted by ulama in order to provide general direction of Islamic life in Indonesia.</w:t>
      </w:r>
      <w:r w:rsidRPr="00194740">
        <w:rPr>
          <w:rFonts w:ascii="Calibri" w:eastAsia="MS Mincho" w:hAnsi="Calibri"/>
          <w:noProof/>
          <w:color w:val="auto"/>
          <w:vertAlign w:val="superscript"/>
          <w:lang w:val="en-GB"/>
        </w:rPr>
        <w:footnoteReference w:id="60"/>
      </w:r>
      <w:r w:rsidRPr="00194740">
        <w:rPr>
          <w:rFonts w:ascii="Calibri" w:hAnsi="Calibri"/>
          <w:noProof/>
          <w:color w:val="auto"/>
          <w:lang w:val="en-GB"/>
        </w:rPr>
        <w:t xml:space="preserve"> Although the MUI is entirely financed by the Government, the work done by them does not always conform with government policies. Many fatwas were issued in opposition of the government and through those fatwas, the Council has a tendency to bring Indonesia closer to “orthodoxy”.</w:t>
      </w:r>
      <w:r w:rsidRPr="00194740">
        <w:rPr>
          <w:rFonts w:ascii="Calibri" w:eastAsia="MS Mincho" w:hAnsi="Calibri"/>
          <w:noProof/>
          <w:color w:val="auto"/>
          <w:vertAlign w:val="superscript"/>
          <w:lang w:val="en-GB"/>
        </w:rPr>
        <w:footnoteReference w:id="61"/>
      </w:r>
      <w:r w:rsidRPr="00194740">
        <w:rPr>
          <w:rFonts w:ascii="Calibri" w:hAnsi="Calibri"/>
          <w:noProof/>
          <w:color w:val="auto"/>
          <w:lang w:val="en-GB"/>
        </w:rPr>
        <w:t xml:space="preserve"> Some of them are considered to be discriminative towards religious minority groups. In 1980, the MUI issued a fatwa against Ahmadiyya, which was renewed in 2005.</w:t>
      </w:r>
      <w:r w:rsidRPr="00194740">
        <w:rPr>
          <w:rFonts w:ascii="Calibri" w:eastAsia="MS Mincho" w:hAnsi="Calibri"/>
          <w:noProof/>
          <w:color w:val="auto"/>
          <w:vertAlign w:val="superscript"/>
          <w:lang w:val="en-GB"/>
        </w:rPr>
        <w:footnoteReference w:id="62"/>
      </w:r>
      <w:r w:rsidRPr="00194740">
        <w:rPr>
          <w:rFonts w:ascii="Calibri" w:hAnsi="Calibri"/>
          <w:noProof/>
          <w:color w:val="auto"/>
          <w:lang w:val="en-GB"/>
        </w:rPr>
        <w:t xml:space="preserve"> </w:t>
      </w:r>
    </w:p>
    <w:p w14:paraId="42B63E53" w14:textId="77777777" w:rsidR="00194740" w:rsidRPr="00194740" w:rsidRDefault="00194740" w:rsidP="00194740">
      <w:pPr>
        <w:spacing w:after="120"/>
        <w:rPr>
          <w:rFonts w:ascii="Calibri" w:hAnsi="Calibri"/>
          <w:noProof/>
          <w:color w:val="auto"/>
          <w:lang w:val="en-GB"/>
        </w:rPr>
      </w:pPr>
      <w:r w:rsidRPr="00194740">
        <w:rPr>
          <w:rFonts w:ascii="Calibri" w:hAnsi="Calibri"/>
          <w:noProof/>
          <w:color w:val="auto"/>
          <w:lang w:val="en-GB"/>
        </w:rPr>
        <w:t>In theory, a fatwa is not legally binding without the Government’s decision to acknowledge it and it therefore does not have a significant impact in society. However, the MUI fatwas have produced violence against religious minorities as radical Islamic groups often used these fatwas to justify their opposition and to attack Ahmadiyya communities and other religious minority groups. The MUI fatwas may not be enforceable, nonetheless they have inspired local governments in several areas to issue discriminatory local regulations and administrative rulings. For instance, after the fatwa that banned Ahmadiyya activities was re-issued in 2005, in the same year, local authorities in Tasikmalaya passed a regulation forbidding Ahmadiyya members to proselytize in and around the city and regency of Tasikmalaya.</w:t>
      </w:r>
      <w:r w:rsidRPr="00194740">
        <w:rPr>
          <w:rFonts w:ascii="Calibri" w:eastAsia="MS Mincho" w:hAnsi="Calibri"/>
          <w:noProof/>
          <w:color w:val="auto"/>
          <w:vertAlign w:val="superscript"/>
          <w:lang w:val="en-GB"/>
        </w:rPr>
        <w:footnoteReference w:id="63"/>
      </w:r>
      <w:r w:rsidRPr="00194740">
        <w:rPr>
          <w:rFonts w:ascii="Calibri" w:hAnsi="Calibri"/>
          <w:noProof/>
          <w:color w:val="auto"/>
          <w:lang w:val="en-GB"/>
        </w:rPr>
        <w:t xml:space="preserve"> The Tasikmalaya regulation is one of the examples of other regional regulations that banning the activities of Ahmadiyya. From this point, the MUI and its fatwas have been inciting hatred towards religious minorities rather than maintaining religious harmony in the society. Although fatwas are not legally binding, it is clear that they have an impact on how </w:t>
      </w:r>
      <w:r w:rsidRPr="00194740">
        <w:rPr>
          <w:rFonts w:ascii="Calibri" w:hAnsi="Calibri"/>
          <w:noProof/>
          <w:color w:val="auto"/>
          <w:lang w:val="en-GB"/>
        </w:rPr>
        <w:lastRenderedPageBreak/>
        <w:t>Indonesian citizens perceive the right to freedom of religion or belief.</w:t>
      </w:r>
    </w:p>
    <w:p w14:paraId="6481D72F" w14:textId="77777777" w:rsidR="00194740" w:rsidRPr="00194740" w:rsidRDefault="00194740" w:rsidP="00194740">
      <w:pPr>
        <w:keepNext/>
        <w:spacing w:before="180" w:after="180" w:line="360" w:lineRule="exact"/>
        <w:contextualSpacing/>
        <w:jc w:val="left"/>
        <w:outlineLvl w:val="1"/>
        <w:rPr>
          <w:rFonts w:ascii="Cambria" w:eastAsia="MS Gothic" w:hAnsi="Cambria"/>
          <w:bCs/>
          <w:i/>
          <w:iCs/>
          <w:noProof/>
          <w:color w:val="auto"/>
          <w:spacing w:val="10"/>
          <w:kern w:val="32"/>
          <w:sz w:val="32"/>
          <w:szCs w:val="28"/>
          <w:shd w:val="clear" w:color="auto" w:fill="FFFFFF"/>
          <w:lang w:val="en-GB"/>
        </w:rPr>
      </w:pPr>
      <w:r w:rsidRPr="00194740">
        <w:rPr>
          <w:rFonts w:ascii="Cambria" w:eastAsia="MS Gothic" w:hAnsi="Cambria"/>
          <w:bCs/>
          <w:i/>
          <w:iCs/>
          <w:noProof/>
          <w:color w:val="auto"/>
          <w:spacing w:val="10"/>
          <w:kern w:val="32"/>
          <w:sz w:val="32"/>
          <w:szCs w:val="28"/>
          <w:shd w:val="clear" w:color="auto" w:fill="FFFFFF"/>
          <w:lang w:val="en-GB"/>
        </w:rPr>
        <w:t>Assessments of recent laws</w:t>
      </w:r>
    </w:p>
    <w:p w14:paraId="64290887"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In East Java, the Governor passed several regulations to limit the activities of Ahmadiyya communities. One of the regulations was issued on 28 February 2011 that prohibits members of Ahmadiyya community to propagate their faith verbally, in written or electronic form. It also forbids the use of any attributes, like sign boards in public spaces that indicates to the JAI.</w:t>
      </w:r>
      <w:r w:rsidRPr="00194740">
        <w:rPr>
          <w:rFonts w:ascii="Calibri" w:eastAsia="MS Mincho" w:hAnsi="Calibri"/>
          <w:noProof/>
          <w:color w:val="auto"/>
          <w:sz w:val="18"/>
          <w:vertAlign w:val="superscript"/>
          <w:lang w:val="en-GB"/>
        </w:rPr>
        <w:footnoteReference w:id="64"/>
      </w:r>
      <w:r w:rsidRPr="00194740">
        <w:rPr>
          <w:rFonts w:ascii="Calibri" w:hAnsi="Calibri"/>
          <w:noProof/>
          <w:color w:val="auto"/>
          <w:lang w:val="en-GB"/>
        </w:rPr>
        <w:t xml:space="preserve"> </w:t>
      </w:r>
    </w:p>
    <w:p w14:paraId="153916CF"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In West Java, a similar regulation was passed on 2 March 2011, namely West Java Governor Regulation No. 12/2011 on the Prohibition of Activities of the Indonesian Ahmadiyya Congregation in West Java. In general, it provides similar provisions from the East Java regulation. However, it extends its capacity by establishing a local intelligence community to monitor activities of members of Ahmadiyya in the province.</w:t>
      </w:r>
      <w:r w:rsidRPr="00194740">
        <w:rPr>
          <w:rFonts w:ascii="Calibri" w:eastAsia="MS Mincho" w:hAnsi="Calibri"/>
          <w:noProof/>
          <w:color w:val="auto"/>
          <w:sz w:val="18"/>
          <w:vertAlign w:val="superscript"/>
          <w:lang w:val="en-GB"/>
        </w:rPr>
        <w:footnoteReference w:id="65"/>
      </w:r>
      <w:r w:rsidRPr="00194740">
        <w:rPr>
          <w:rFonts w:ascii="Calibri" w:hAnsi="Calibri"/>
          <w:noProof/>
          <w:color w:val="auto"/>
          <w:lang w:val="en-GB"/>
        </w:rPr>
        <w:t xml:space="preserve"> In order to deliver the monitoring task, the regulation allows local authorities, such as the MUI, local religious leaders and community leaders to participate in educating the community on the genuine teachings of Islam.</w:t>
      </w:r>
      <w:r w:rsidRPr="00194740">
        <w:rPr>
          <w:rFonts w:ascii="Calibri" w:eastAsia="MS Mincho" w:hAnsi="Calibri"/>
          <w:noProof/>
          <w:color w:val="auto"/>
          <w:sz w:val="18"/>
          <w:vertAlign w:val="superscript"/>
          <w:lang w:val="en-GB"/>
        </w:rPr>
        <w:footnoteReference w:id="66"/>
      </w:r>
    </w:p>
    <w:p w14:paraId="4A2CCF07"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While in Banjar City, the local government limits activities of Ahmadiyya community through Banjar City Mayor Regulation No. 10/2011 on the Management of Ahmadiyya Community in Banjar City.</w:t>
      </w:r>
      <w:r w:rsidRPr="00194740">
        <w:rPr>
          <w:rFonts w:ascii="Calibri" w:eastAsia="MS Mincho" w:hAnsi="Calibri"/>
          <w:noProof/>
          <w:color w:val="auto"/>
          <w:sz w:val="18"/>
          <w:vertAlign w:val="superscript"/>
          <w:lang w:val="en-GB"/>
        </w:rPr>
        <w:footnoteReference w:id="67"/>
      </w:r>
      <w:r w:rsidRPr="00194740">
        <w:rPr>
          <w:rFonts w:ascii="Calibri" w:hAnsi="Calibri"/>
          <w:noProof/>
          <w:color w:val="auto"/>
          <w:lang w:val="en-GB"/>
        </w:rPr>
        <w:t xml:space="preserve"> In Depok City, the mayor passed similar regulations through Depok City Mayor Regulation No. 9/2011 and Decision Letter No. 821.29/153/Kpts/Kesbangpol on Handling Team of Ahmadiyya Congregation. In the same year after the Regulation came into force, an Ahmadiyya mosque in Sawangan was sealed.</w:t>
      </w:r>
      <w:r w:rsidRPr="00194740">
        <w:rPr>
          <w:rFonts w:ascii="Calibri" w:eastAsia="MS Mincho" w:hAnsi="Calibri"/>
          <w:noProof/>
          <w:color w:val="auto"/>
          <w:sz w:val="18"/>
          <w:vertAlign w:val="superscript"/>
          <w:lang w:val="en-GB"/>
        </w:rPr>
        <w:footnoteReference w:id="68"/>
      </w:r>
    </w:p>
    <w:p w14:paraId="340F127D"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All these regulations are used as justification that religious minority groups like Ahmadiyya are a threat to public order and should be monitored to prevent public hatred from becoming prevalent.  Such laws which are based on higher regulations like the Joint Ministerial Decree No. 3 of 2008 issued by the Minister of Religious Affairs, the Minister of Home Affairs and the Attorney General, forbid members of Ahmadiyya community from propagating their faith publicly. Additionally, the Joint Ministerial Decree orders the authorities and local governments to take all the necessary measures to ensure the implementation of this decree.</w:t>
      </w:r>
      <w:r w:rsidRPr="00194740">
        <w:rPr>
          <w:rFonts w:ascii="Calibri" w:eastAsia="MS Mincho" w:hAnsi="Calibri"/>
          <w:noProof/>
          <w:color w:val="auto"/>
          <w:sz w:val="18"/>
          <w:vertAlign w:val="superscript"/>
          <w:lang w:val="en-GB"/>
        </w:rPr>
        <w:footnoteReference w:id="69"/>
      </w:r>
      <w:r w:rsidRPr="00194740">
        <w:rPr>
          <w:rFonts w:ascii="Calibri" w:hAnsi="Calibri"/>
          <w:noProof/>
          <w:color w:val="auto"/>
          <w:lang w:val="en-GB"/>
        </w:rPr>
        <w:t xml:space="preserve"> The task includes monitoring the Ahmadiyya community to prevent them from deviating the teachings of Islam.</w:t>
      </w:r>
      <w:r w:rsidRPr="00194740">
        <w:rPr>
          <w:rFonts w:ascii="Calibri" w:eastAsia="MS Mincho" w:hAnsi="Calibri"/>
          <w:noProof/>
          <w:color w:val="auto"/>
          <w:sz w:val="18"/>
          <w:vertAlign w:val="superscript"/>
          <w:lang w:val="en-GB"/>
        </w:rPr>
        <w:footnoteReference w:id="70"/>
      </w:r>
    </w:p>
    <w:p w14:paraId="4145222C" w14:textId="77777777" w:rsidR="00194740" w:rsidRPr="00194740" w:rsidRDefault="00194740" w:rsidP="00194740">
      <w:pPr>
        <w:keepNext/>
        <w:spacing w:before="180" w:after="180" w:line="360" w:lineRule="exact"/>
        <w:contextualSpacing/>
        <w:jc w:val="left"/>
        <w:outlineLvl w:val="1"/>
        <w:rPr>
          <w:rFonts w:ascii="Calibri" w:eastAsia="MS Gothic" w:hAnsi="Calibri"/>
          <w:bCs/>
          <w:i/>
          <w:iCs/>
          <w:noProof/>
          <w:color w:val="auto"/>
          <w:spacing w:val="10"/>
          <w:kern w:val="32"/>
          <w:szCs w:val="28"/>
          <w:shd w:val="clear" w:color="auto" w:fill="FFFFFF"/>
          <w:lang w:val="en-GB"/>
        </w:rPr>
      </w:pPr>
      <w:r w:rsidRPr="00194740">
        <w:rPr>
          <w:rFonts w:ascii="Cambria" w:eastAsia="MS Gothic" w:hAnsi="Cambria"/>
          <w:bCs/>
          <w:i/>
          <w:iCs/>
          <w:noProof/>
          <w:color w:val="auto"/>
          <w:spacing w:val="10"/>
          <w:kern w:val="32"/>
          <w:sz w:val="32"/>
          <w:szCs w:val="28"/>
          <w:shd w:val="clear" w:color="auto" w:fill="FFFFFF"/>
          <w:lang w:val="en-GB"/>
        </w:rPr>
        <w:t>The Draft of Protection of Religious Communities Bill</w:t>
      </w:r>
    </w:p>
    <w:p w14:paraId="143CC6E2" w14:textId="77777777" w:rsidR="00194740" w:rsidRPr="00194740" w:rsidRDefault="00194740" w:rsidP="00194740">
      <w:pPr>
        <w:spacing w:after="120" w:line="276" w:lineRule="auto"/>
        <w:rPr>
          <w:rFonts w:ascii="Calibri" w:hAnsi="Calibri"/>
          <w:noProof/>
          <w:color w:val="auto"/>
          <w:lang w:val="en-GB"/>
        </w:rPr>
      </w:pPr>
      <w:r w:rsidRPr="00194740">
        <w:rPr>
          <w:rFonts w:ascii="Calibri" w:hAnsi="Calibri"/>
          <w:noProof/>
          <w:color w:val="auto"/>
          <w:lang w:val="en-GB"/>
        </w:rPr>
        <w:t xml:space="preserve">In his presidential campaign, Joko Widodo pledged to improve religious tolerance in Indonesia. He promised </w:t>
      </w:r>
      <w:r w:rsidRPr="00194740">
        <w:rPr>
          <w:rFonts w:ascii="Calibri" w:hAnsi="Calibri"/>
          <w:noProof/>
          <w:color w:val="auto"/>
          <w:lang w:val="en-GB"/>
        </w:rPr>
        <w:lastRenderedPageBreak/>
        <w:t>to tackle “intolerance and a national identity crisis” and to “strengthen diversity”.</w:t>
      </w:r>
      <w:r w:rsidRPr="00194740">
        <w:rPr>
          <w:rFonts w:ascii="Calibri" w:eastAsia="MS Mincho" w:hAnsi="Calibri"/>
          <w:noProof/>
          <w:color w:val="auto"/>
          <w:sz w:val="18"/>
          <w:vertAlign w:val="superscript"/>
          <w:lang w:val="en-GB"/>
        </w:rPr>
        <w:footnoteReference w:id="71"/>
      </w:r>
      <w:r w:rsidRPr="00194740">
        <w:rPr>
          <w:rFonts w:ascii="Calibri" w:hAnsi="Calibri"/>
          <w:noProof/>
          <w:color w:val="auto"/>
          <w:lang w:val="en-GB"/>
        </w:rPr>
        <w:t xml:space="preserve"> After he took office in October 2014, Jokowi, together with the newly appointed Minister of Religious Affairs Lukman Hakim Syaifuddin started drafting legislation that will protect all citizens, particularly religious minorities to observe their faiths. If approved, the legislation, which remains in draft form, will regulate other aspects of religious activities such as, the building of places of worship, proselytization and the government’s involvement in this activity, funerals and religious holidays.</w:t>
      </w:r>
      <w:r w:rsidRPr="00194740">
        <w:rPr>
          <w:rFonts w:ascii="Calibri" w:eastAsia="MS Mincho" w:hAnsi="Calibri"/>
          <w:noProof/>
          <w:color w:val="auto"/>
          <w:sz w:val="18"/>
          <w:vertAlign w:val="superscript"/>
          <w:lang w:val="en-GB"/>
        </w:rPr>
        <w:footnoteReference w:id="72"/>
      </w:r>
      <w:r w:rsidRPr="00194740">
        <w:rPr>
          <w:rFonts w:ascii="Calibri" w:hAnsi="Calibri"/>
          <w:noProof/>
          <w:color w:val="auto"/>
          <w:lang w:val="en-GB"/>
        </w:rPr>
        <w:t xml:space="preserve"> It is expected that the draft bill will consequently repeal many controversial laws and regulations that have been used to discriminate against religious minorities, such as the Joint Ministerial Decree No. 3 of 2008 on Ahmadiyya and especially the Blasphemy Law.</w:t>
      </w:r>
    </w:p>
    <w:p w14:paraId="79E733EA" w14:textId="7AA677DB" w:rsidR="003C22B8" w:rsidRPr="00194740" w:rsidRDefault="00194740" w:rsidP="00194740">
      <w:pPr>
        <w:sectPr w:rsidR="003C22B8" w:rsidRPr="00194740" w:rsidSect="00194740">
          <w:pgSz w:w="11907" w:h="16839" w:code="9"/>
          <w:pgMar w:top="2126" w:right="1134" w:bottom="992" w:left="1134" w:header="567" w:footer="567" w:gutter="0"/>
          <w:pgNumType w:start="1"/>
          <w:cols w:space="720"/>
          <w:docGrid w:linePitch="360"/>
        </w:sectPr>
      </w:pPr>
      <w:r w:rsidRPr="00194740">
        <w:rPr>
          <w:rFonts w:ascii="Calibri" w:hAnsi="Calibri"/>
          <w:noProof/>
          <w:color w:val="auto"/>
          <w:lang w:val="en-GB"/>
        </w:rPr>
        <w:t>Many view that the drafted bill has two possibilities: either it will protect the right to freedom of religion of all citizens in Indonesia, or will deprive them further from the enjoyment of this right. It is important that the drafted bill stipulate protection of the rights of religious minorities, including providing recognition, representation and redistribution for them.</w:t>
      </w:r>
      <w:r w:rsidRPr="00194740">
        <w:rPr>
          <w:rFonts w:ascii="Calibri" w:eastAsia="MS Mincho" w:hAnsi="Calibri"/>
          <w:noProof/>
          <w:color w:val="auto"/>
          <w:sz w:val="18"/>
          <w:vertAlign w:val="superscript"/>
          <w:lang w:val="en-GB"/>
        </w:rPr>
        <w:footnoteReference w:id="73"/>
      </w:r>
      <w:r w:rsidRPr="00194740">
        <w:rPr>
          <w:rFonts w:ascii="Calibri" w:hAnsi="Calibri"/>
          <w:noProof/>
          <w:color w:val="auto"/>
          <w:lang w:val="en-GB"/>
        </w:rPr>
        <w:t xml:space="preserve"> The content of the drafted bill also needs to be reviewed further in regard to the position of religious councils, as it will allow such councils to establish whether a religious teaching is deviant or not.</w:t>
      </w:r>
      <w:r w:rsidRPr="00194740">
        <w:rPr>
          <w:rFonts w:ascii="Calibri" w:eastAsia="MS Mincho" w:hAnsi="Calibri"/>
          <w:noProof/>
          <w:color w:val="auto"/>
          <w:sz w:val="18"/>
          <w:vertAlign w:val="superscript"/>
          <w:lang w:val="en-GB"/>
        </w:rPr>
        <w:footnoteReference w:id="74"/>
      </w:r>
      <w:r w:rsidRPr="00194740">
        <w:rPr>
          <w:rFonts w:ascii="Calibri" w:hAnsi="Calibri"/>
          <w:noProof/>
          <w:color w:val="auto"/>
          <w:lang w:val="en-GB"/>
        </w:rPr>
        <w:t xml:space="preserve"> For Muslims, for instance, this authority will be granted to the MUI. Consequently, it may harm other religions that are not officially recognised by the government as in practice, the MUI has been issuing fatwas banning other Islamic religious teachings like Ahmadiyya. The drafted bill should abolish any forms of discrimination on the ground of religion or belief. The heart of the problems lies with the discriminative treatment of the government. Many examples have shown that the government is unable to consistently implement the 1945 Constitution and enforce the law. This situation has abused the right of religious freedom and promoted an environment of impunity. The bill was initially planned to be introduced in 2015, however there has been no significant progress since it was submitted to the House of Representatives on 2 February of that year.</w:t>
      </w:r>
      <w:r w:rsidRPr="00194740">
        <w:rPr>
          <w:rFonts w:ascii="Calibri" w:eastAsia="MS Mincho" w:hAnsi="Calibri"/>
          <w:noProof/>
          <w:color w:val="auto"/>
          <w:sz w:val="18"/>
          <w:vertAlign w:val="superscript"/>
          <w:lang w:val="en-GB"/>
        </w:rPr>
        <w:footnoteReference w:id="75"/>
      </w:r>
    </w:p>
    <w:p w14:paraId="55BE2A66" w14:textId="77777777" w:rsidR="00CB697F" w:rsidRPr="006266CF" w:rsidRDefault="00CB697F" w:rsidP="00CB697F">
      <w:pPr>
        <w:pStyle w:val="Sub-TitleInfo"/>
        <w:rPr>
          <w:noProof w:val="0"/>
        </w:rPr>
      </w:pPr>
    </w:p>
    <w:p w14:paraId="7B6D7048" w14:textId="77777777" w:rsidR="00CB697F" w:rsidRPr="006266CF" w:rsidRDefault="00CB697F" w:rsidP="00CB697F">
      <w:pPr>
        <w:pStyle w:val="Sub-TitleInfo"/>
        <w:jc w:val="center"/>
        <w:rPr>
          <w:noProof w:val="0"/>
        </w:rPr>
      </w:pPr>
    </w:p>
    <w:p w14:paraId="30796335" w14:textId="77777777" w:rsidR="00CB697F" w:rsidRPr="006266CF" w:rsidRDefault="00CB697F" w:rsidP="00CB697F">
      <w:pPr>
        <w:pStyle w:val="Sub-TitleInfo"/>
        <w:jc w:val="center"/>
        <w:rPr>
          <w:noProof w:val="0"/>
        </w:rPr>
      </w:pPr>
    </w:p>
    <w:p w14:paraId="3BDFB535" w14:textId="77777777" w:rsidR="00CB697F" w:rsidRPr="006266CF" w:rsidRDefault="00CB697F" w:rsidP="00CB697F">
      <w:pPr>
        <w:pStyle w:val="Sub-TitleInfo"/>
        <w:jc w:val="center"/>
        <w:rPr>
          <w:noProof w:val="0"/>
        </w:rPr>
      </w:pPr>
    </w:p>
    <w:p w14:paraId="10377AA3" w14:textId="77777777" w:rsidR="00CB697F" w:rsidRPr="006266CF" w:rsidRDefault="00CB697F" w:rsidP="00CB697F">
      <w:pPr>
        <w:pStyle w:val="Sub-TitleInfo"/>
        <w:jc w:val="center"/>
        <w:rPr>
          <w:noProof w:val="0"/>
        </w:rPr>
      </w:pPr>
    </w:p>
    <w:p w14:paraId="3B688486" w14:textId="77777777" w:rsidR="00CB697F" w:rsidRPr="006266CF" w:rsidRDefault="00CB697F" w:rsidP="00CB697F">
      <w:pPr>
        <w:pStyle w:val="Sub-TitleInfo"/>
        <w:jc w:val="center"/>
        <w:rPr>
          <w:noProof w:val="0"/>
        </w:rPr>
      </w:pPr>
    </w:p>
    <w:p w14:paraId="33B0E332" w14:textId="77777777" w:rsidR="00CB697F" w:rsidRPr="006266CF" w:rsidRDefault="00CB697F" w:rsidP="00CB697F">
      <w:pPr>
        <w:pStyle w:val="Sub-TitleInfo"/>
        <w:jc w:val="center"/>
        <w:rPr>
          <w:noProof w:val="0"/>
        </w:rPr>
      </w:pPr>
    </w:p>
    <w:p w14:paraId="2408B8D4" w14:textId="77777777" w:rsidR="00CB697F" w:rsidRPr="006266CF" w:rsidRDefault="00CB697F" w:rsidP="00CB697F">
      <w:pPr>
        <w:pStyle w:val="Sub-TitleInfo"/>
        <w:jc w:val="center"/>
        <w:rPr>
          <w:noProof w:val="0"/>
        </w:rPr>
      </w:pPr>
    </w:p>
    <w:p w14:paraId="7DA75150" w14:textId="77777777" w:rsidR="00CB697F" w:rsidRPr="006266CF" w:rsidRDefault="00CB697F" w:rsidP="00CB697F">
      <w:pPr>
        <w:pStyle w:val="Sub-TitleInfo"/>
        <w:jc w:val="center"/>
        <w:rPr>
          <w:noProof w:val="0"/>
        </w:rPr>
      </w:pPr>
    </w:p>
    <w:p w14:paraId="16E76207" w14:textId="77777777" w:rsidR="00CB697F" w:rsidRPr="006266CF" w:rsidRDefault="00CB697F" w:rsidP="00CB697F">
      <w:pPr>
        <w:pStyle w:val="Sub-TitleInfo"/>
        <w:jc w:val="center"/>
        <w:rPr>
          <w:noProof w:val="0"/>
        </w:rPr>
      </w:pPr>
    </w:p>
    <w:p w14:paraId="45A852AD" w14:textId="77777777" w:rsidR="00CB697F" w:rsidRPr="006266CF" w:rsidRDefault="00CB697F" w:rsidP="00CB697F">
      <w:pPr>
        <w:pStyle w:val="Sub-TitleInfo"/>
        <w:jc w:val="center"/>
        <w:rPr>
          <w:noProof w:val="0"/>
        </w:rPr>
      </w:pPr>
    </w:p>
    <w:p w14:paraId="65789029" w14:textId="77777777" w:rsidR="00CB697F" w:rsidRPr="006266CF" w:rsidRDefault="00CB697F" w:rsidP="00CB697F">
      <w:pPr>
        <w:pStyle w:val="Sub-TitleInfo"/>
        <w:jc w:val="center"/>
        <w:rPr>
          <w:noProof w:val="0"/>
        </w:rPr>
      </w:pPr>
    </w:p>
    <w:p w14:paraId="5D3F6283" w14:textId="77777777" w:rsidR="00CB697F" w:rsidRPr="006266CF" w:rsidRDefault="00CB697F" w:rsidP="00CB697F">
      <w:pPr>
        <w:pStyle w:val="Sub-TitleInfo"/>
        <w:jc w:val="center"/>
        <w:rPr>
          <w:noProof w:val="0"/>
        </w:rPr>
      </w:pPr>
    </w:p>
    <w:p w14:paraId="63B331D3" w14:textId="77777777" w:rsidR="00CB697F" w:rsidRPr="006266CF" w:rsidRDefault="00CB697F" w:rsidP="00CB697F">
      <w:pPr>
        <w:pStyle w:val="Sub-TitleInfo"/>
        <w:jc w:val="center"/>
        <w:rPr>
          <w:noProof w:val="0"/>
        </w:rPr>
      </w:pPr>
    </w:p>
    <w:p w14:paraId="6C8B5D9E" w14:textId="77777777" w:rsidR="00CB697F" w:rsidRPr="006266CF" w:rsidRDefault="00CB697F" w:rsidP="00CB697F">
      <w:pPr>
        <w:pStyle w:val="Sub-TitleInfo"/>
        <w:jc w:val="center"/>
        <w:rPr>
          <w:noProof w:val="0"/>
        </w:rPr>
      </w:pPr>
    </w:p>
    <w:p w14:paraId="39935ACE" w14:textId="77777777" w:rsidR="00CB697F" w:rsidRPr="006266CF" w:rsidRDefault="00CB697F" w:rsidP="00CB697F">
      <w:pPr>
        <w:pStyle w:val="Sub-TitleInfo"/>
        <w:jc w:val="center"/>
        <w:rPr>
          <w:noProof w:val="0"/>
        </w:rPr>
      </w:pPr>
    </w:p>
    <w:p w14:paraId="650F5398" w14:textId="77777777" w:rsidR="00CB697F" w:rsidRPr="006266CF" w:rsidRDefault="00CB697F" w:rsidP="00CB697F">
      <w:pPr>
        <w:pStyle w:val="Sub-TitleInfo"/>
        <w:jc w:val="center"/>
        <w:rPr>
          <w:noProof w:val="0"/>
        </w:rPr>
      </w:pPr>
    </w:p>
    <w:p w14:paraId="1806E85B" w14:textId="77777777" w:rsidR="00CB697F" w:rsidRPr="006266CF" w:rsidRDefault="00CB697F" w:rsidP="00CB697F">
      <w:pPr>
        <w:pStyle w:val="Sub-TitleInfo"/>
        <w:jc w:val="center"/>
        <w:rPr>
          <w:noProof w:val="0"/>
        </w:rPr>
      </w:pPr>
    </w:p>
    <w:p w14:paraId="5C0CA161" w14:textId="77777777" w:rsidR="00CB697F" w:rsidRPr="006266CF" w:rsidRDefault="00CB697F" w:rsidP="00CB697F">
      <w:pPr>
        <w:pStyle w:val="Sub-TitleInfo"/>
        <w:jc w:val="center"/>
        <w:rPr>
          <w:noProof w:val="0"/>
        </w:rPr>
      </w:pPr>
    </w:p>
    <w:p w14:paraId="6B97FA86" w14:textId="77777777" w:rsidR="00CB697F" w:rsidRPr="006266CF" w:rsidRDefault="00CB697F" w:rsidP="00CB697F">
      <w:pPr>
        <w:pStyle w:val="Sub-TitleInfo"/>
        <w:jc w:val="center"/>
        <w:rPr>
          <w:noProof w:val="0"/>
        </w:rPr>
      </w:pPr>
      <w:r w:rsidRPr="006266CF">
        <w:rPr>
          <w:sz w:val="20"/>
          <w:szCs w:val="20"/>
        </w:rPr>
        <w:drawing>
          <wp:anchor distT="0" distB="0" distL="114300" distR="114300" simplePos="0" relativeHeight="251655168" behindDoc="0" locked="0" layoutInCell="1" allowOverlap="1" wp14:anchorId="41741320" wp14:editId="1D0E7B28">
            <wp:simplePos x="0" y="0"/>
            <wp:positionH relativeFrom="page">
              <wp:align>center</wp:align>
            </wp:positionH>
            <wp:positionV relativeFrom="margin">
              <wp:align>center</wp:align>
            </wp:positionV>
            <wp:extent cx="2210400" cy="1080000"/>
            <wp:effectExtent l="0" t="0" r="0" b="6350"/>
            <wp:wrapThrough wrapText="bothSides">
              <wp:wrapPolygon edited="0">
                <wp:start x="10055" y="0"/>
                <wp:lineTo x="8193" y="381"/>
                <wp:lineTo x="6890" y="3049"/>
                <wp:lineTo x="6890" y="8005"/>
                <wp:lineTo x="7448" y="12198"/>
                <wp:lineTo x="0" y="16009"/>
                <wp:lineTo x="0" y="21346"/>
                <wp:lineTo x="20669" y="21346"/>
                <wp:lineTo x="20669" y="18296"/>
                <wp:lineTo x="21414" y="17534"/>
                <wp:lineTo x="21414" y="16009"/>
                <wp:lineTo x="13966" y="12198"/>
                <wp:lineTo x="14897" y="5336"/>
                <wp:lineTo x="13221" y="1144"/>
                <wp:lineTo x="12290" y="0"/>
                <wp:lineTo x="10055"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hit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10400" cy="1080000"/>
                    </a:xfrm>
                    <a:prstGeom prst="rect">
                      <a:avLst/>
                    </a:prstGeom>
                  </pic:spPr>
                </pic:pic>
              </a:graphicData>
            </a:graphic>
            <wp14:sizeRelH relativeFrom="margin">
              <wp14:pctWidth>0</wp14:pctWidth>
            </wp14:sizeRelH>
            <wp14:sizeRelV relativeFrom="margin">
              <wp14:pctHeight>0</wp14:pctHeight>
            </wp14:sizeRelV>
          </wp:anchor>
        </w:drawing>
      </w:r>
    </w:p>
    <w:p w14:paraId="4072E349" w14:textId="77777777" w:rsidR="00CB697F" w:rsidRPr="006266CF" w:rsidRDefault="00CB697F" w:rsidP="00CB697F">
      <w:pPr>
        <w:pStyle w:val="Sub-TitleInfo"/>
        <w:jc w:val="center"/>
        <w:rPr>
          <w:noProof w:val="0"/>
        </w:rPr>
      </w:pPr>
    </w:p>
    <w:p w14:paraId="1286440F" w14:textId="77777777" w:rsidR="00CB697F" w:rsidRPr="006266CF" w:rsidRDefault="00CB697F" w:rsidP="00CB697F">
      <w:pPr>
        <w:pStyle w:val="Sub-TitleInfo"/>
        <w:jc w:val="center"/>
        <w:rPr>
          <w:noProof w:val="0"/>
        </w:rPr>
      </w:pPr>
    </w:p>
    <w:p w14:paraId="43EDB370" w14:textId="77777777" w:rsidR="00CB697F" w:rsidRPr="006266CF" w:rsidRDefault="00CB697F" w:rsidP="00CB697F">
      <w:pPr>
        <w:pStyle w:val="Sub-TitleInfo"/>
        <w:jc w:val="center"/>
        <w:rPr>
          <w:noProof w:val="0"/>
        </w:rPr>
      </w:pPr>
    </w:p>
    <w:p w14:paraId="1109AE2D" w14:textId="77777777" w:rsidR="00CB697F" w:rsidRPr="006266CF" w:rsidRDefault="00CB697F" w:rsidP="00CB697F">
      <w:pPr>
        <w:pStyle w:val="Sub-TitleInfo"/>
        <w:jc w:val="center"/>
        <w:rPr>
          <w:noProof w:val="0"/>
        </w:rPr>
      </w:pPr>
    </w:p>
    <w:p w14:paraId="3B6BA9B2" w14:textId="77777777" w:rsidR="00CB697F" w:rsidRPr="006266CF" w:rsidRDefault="00CB697F" w:rsidP="00CB697F">
      <w:pPr>
        <w:pStyle w:val="Sub-TitleInfo"/>
        <w:jc w:val="center"/>
        <w:rPr>
          <w:noProof w:val="0"/>
        </w:rPr>
      </w:pPr>
    </w:p>
    <w:p w14:paraId="2C59F818" w14:textId="77777777" w:rsidR="00CB697F" w:rsidRPr="006266CF" w:rsidRDefault="00CB697F" w:rsidP="00CB697F">
      <w:pPr>
        <w:pStyle w:val="NewTagline"/>
        <w:rPr>
          <w:noProof w:val="0"/>
        </w:rPr>
      </w:pPr>
    </w:p>
    <w:p w14:paraId="128F6FD0" w14:textId="77777777" w:rsidR="00CB697F" w:rsidRPr="006266CF" w:rsidRDefault="00CB697F" w:rsidP="00CB697F">
      <w:pPr>
        <w:pStyle w:val="NewTagline"/>
        <w:rPr>
          <w:noProof w:val="0"/>
        </w:rPr>
      </w:pPr>
    </w:p>
    <w:p w14:paraId="23C12FCB" w14:textId="77777777" w:rsidR="00CB697F" w:rsidRPr="006266CF" w:rsidRDefault="00981450" w:rsidP="00CB697F">
      <w:pPr>
        <w:pStyle w:val="NewTagline"/>
        <w:rPr>
          <w:noProof w:val="0"/>
          <w:color w:val="216FB7"/>
        </w:rPr>
      </w:pPr>
      <w:r w:rsidRPr="006266CF">
        <w:rPr>
          <w:noProof w:val="0"/>
          <w:color w:val="216FB7"/>
        </w:rPr>
        <w:t>See Far, Be First</w:t>
      </w:r>
    </w:p>
    <w:p w14:paraId="45533F2F" w14:textId="77777777" w:rsidR="00CB697F" w:rsidRPr="006266CF" w:rsidRDefault="00CB697F" w:rsidP="00CB697F">
      <w:pPr>
        <w:pStyle w:val="NewWeb"/>
        <w:jc w:val="center"/>
        <w:rPr>
          <w:rFonts w:ascii="Jura" w:hAnsi="Jura" w:cs="Calibri-Bold"/>
          <w:b/>
          <w:noProof w:val="0"/>
          <w:color w:val="136FBE"/>
          <w:sz w:val="40"/>
          <w:szCs w:val="40"/>
        </w:rPr>
      </w:pPr>
    </w:p>
    <w:p w14:paraId="25ABD002" w14:textId="77777777" w:rsidR="00CB697F" w:rsidRPr="006266CF" w:rsidRDefault="00CB697F" w:rsidP="00CB697F">
      <w:pPr>
        <w:pStyle w:val="NewWeb"/>
        <w:jc w:val="center"/>
        <w:rPr>
          <w:noProof w:val="0"/>
        </w:rPr>
      </w:pPr>
      <w:r w:rsidRPr="006266CF">
        <w:rPr>
          <w:noProof w:val="0"/>
        </w:rPr>
        <w:t>To stay in touch, click below</w:t>
      </w:r>
    </w:p>
    <w:p w14:paraId="4B579FB6" w14:textId="77777777" w:rsidR="00CB697F" w:rsidRPr="006266CF" w:rsidRDefault="00CB697F" w:rsidP="00CB697F">
      <w:pPr>
        <w:pStyle w:val="NewWeb"/>
        <w:jc w:val="center"/>
        <w:rPr>
          <w:noProof w:val="0"/>
        </w:rPr>
      </w:pPr>
      <w:r w:rsidRPr="006266CF">
        <w:drawing>
          <wp:anchor distT="0" distB="0" distL="107950" distR="107950" simplePos="0" relativeHeight="251657216" behindDoc="1" locked="0" layoutInCell="1" allowOverlap="1" wp14:anchorId="4F9780C7" wp14:editId="02342491">
            <wp:simplePos x="0" y="0"/>
            <wp:positionH relativeFrom="column">
              <wp:posOffset>3834765</wp:posOffset>
            </wp:positionH>
            <wp:positionV relativeFrom="paragraph">
              <wp:posOffset>148590</wp:posOffset>
            </wp:positionV>
            <wp:extent cx="197485" cy="197485"/>
            <wp:effectExtent l="0" t="0" r="0" b="0"/>
            <wp:wrapNone/>
            <wp:docPr id="5" name="Picture 5">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_Linkedin.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r w:rsidRPr="006266CF">
        <w:drawing>
          <wp:anchor distT="0" distB="0" distL="107950" distR="107950" simplePos="0" relativeHeight="251656192" behindDoc="1" locked="0" layoutInCell="1" allowOverlap="1" wp14:anchorId="256B9316" wp14:editId="2AF6869E">
            <wp:simplePos x="0" y="0"/>
            <wp:positionH relativeFrom="column">
              <wp:posOffset>3474720</wp:posOffset>
            </wp:positionH>
            <wp:positionV relativeFrom="paragraph">
              <wp:posOffset>148590</wp:posOffset>
            </wp:positionV>
            <wp:extent cx="197485" cy="197485"/>
            <wp:effectExtent l="0" t="0" r="0" b="0"/>
            <wp:wrapNone/>
            <wp:docPr id="4" name="Picture 4">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ue_Twitt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7485" cy="197485"/>
                    </a:xfrm>
                    <a:prstGeom prst="rect">
                      <a:avLst/>
                    </a:prstGeom>
                  </pic:spPr>
                </pic:pic>
              </a:graphicData>
            </a:graphic>
            <wp14:sizeRelH relativeFrom="margin">
              <wp14:pctWidth>0</wp14:pctWidth>
            </wp14:sizeRelH>
            <wp14:sizeRelV relativeFrom="margin">
              <wp14:pctHeight>0</wp14:pctHeight>
            </wp14:sizeRelV>
          </wp:anchor>
        </w:drawing>
      </w:r>
    </w:p>
    <w:p w14:paraId="7B96F1CA" w14:textId="77777777" w:rsidR="00CB697F" w:rsidRPr="006266CF" w:rsidRDefault="00CB697F" w:rsidP="007923BA">
      <w:pPr>
        <w:pStyle w:val="NewWeb"/>
        <w:ind w:left="3600" w:hanging="481"/>
        <w:rPr>
          <w:noProof w:val="0"/>
        </w:rPr>
      </w:pPr>
      <w:r w:rsidRPr="006266CF">
        <w:rPr>
          <w:noProof w:val="0"/>
        </w:rPr>
        <w:t xml:space="preserve">  </w:t>
      </w:r>
      <w:hyperlink r:id="rId47" w:history="1">
        <w:r w:rsidR="007923BA" w:rsidRPr="006266CF">
          <w:rPr>
            <w:rStyle w:val="Hyperlink"/>
            <w:noProof w:val="0"/>
            <w:color w:val="FFFFFF" w:themeColor="background1"/>
          </w:rPr>
          <w:t>http://www.seefar.org</w:t>
        </w:r>
      </w:hyperlink>
      <w:r w:rsidR="007923BA" w:rsidRPr="006266CF">
        <w:rPr>
          <w:noProof w:val="0"/>
        </w:rPr>
        <w:t xml:space="preserve"> </w:t>
      </w:r>
    </w:p>
    <w:sectPr w:rsidR="00CB697F" w:rsidRPr="006266CF" w:rsidSect="00CB697F">
      <w:headerReference w:type="default" r:id="rId48"/>
      <w:footerReference w:type="default" r:id="rId49"/>
      <w:headerReference w:type="first" r:id="rId50"/>
      <w:footerReference w:type="first" r:id="rId51"/>
      <w:pgSz w:w="11907" w:h="16839" w:code="9"/>
      <w:pgMar w:top="936" w:right="851" w:bottom="851" w:left="992"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C3EBE" w14:textId="77777777" w:rsidR="00C67CA6" w:rsidRDefault="00C67CA6" w:rsidP="00F47B74">
      <w:pPr>
        <w:spacing w:after="0" w:line="240" w:lineRule="auto"/>
      </w:pPr>
      <w:r>
        <w:separator/>
      </w:r>
    </w:p>
  </w:endnote>
  <w:endnote w:type="continuationSeparator" w:id="0">
    <w:p w14:paraId="05D548CF" w14:textId="77777777" w:rsidR="00C67CA6" w:rsidRDefault="00C67CA6" w:rsidP="00F47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Jura">
    <w:altName w:val="Calibri"/>
    <w:panose1 w:val="02000503000000000000"/>
    <w:charset w:val="00"/>
    <w:family w:val="auto"/>
    <w:pitch w:val="variable"/>
    <w:sig w:usb0="A00002E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Neue LT 45 Lt">
    <w:altName w:val="Arial"/>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09D56" w14:textId="2F340F11" w:rsidR="00F52A18" w:rsidRDefault="00F52A18" w:rsidP="0042366B">
    <w:pPr>
      <w:pStyle w:val="Footer"/>
      <w:jc w:val="center"/>
      <w:rPr>
        <w:rStyle w:val="NewEmailWebChar"/>
        <w:color w:val="58585B"/>
      </w:rPr>
    </w:pPr>
  </w:p>
  <w:p w14:paraId="01C0D4C5" w14:textId="77777777" w:rsidR="00F52A18" w:rsidRDefault="00F52A18" w:rsidP="0042366B">
    <w:pPr>
      <w:pStyle w:val="Footer"/>
      <w:jc w:val="center"/>
      <w:rPr>
        <w:rStyle w:val="NewEmailWebChar"/>
        <w:color w:val="58585B"/>
      </w:rPr>
    </w:pPr>
  </w:p>
  <w:p w14:paraId="5DAF4BF4" w14:textId="77777777" w:rsidR="00F52A18" w:rsidRDefault="00F52A18" w:rsidP="0042366B">
    <w:pPr>
      <w:pStyle w:val="Footer"/>
      <w:jc w:val="center"/>
      <w:rPr>
        <w:rStyle w:val="NewEmailWebChar"/>
        <w:color w:val="58585B"/>
      </w:rPr>
    </w:pPr>
  </w:p>
  <w:p w14:paraId="2901A6F0" w14:textId="77777777" w:rsidR="00F52A18" w:rsidRPr="007B5375" w:rsidRDefault="00F52A18" w:rsidP="0042366B">
    <w:pPr>
      <w:pStyle w:val="Footer"/>
      <w:jc w:val="center"/>
      <w:rPr>
        <w:color w:val="FFFFFF" w:themeColor="background1"/>
      </w:rPr>
    </w:pPr>
    <w:r w:rsidRPr="007B5375">
      <w:rPr>
        <w:rStyle w:val="NewEmailWebChar"/>
        <w:color w:val="FFFFFF" w:themeColor="background1"/>
      </w:rPr>
      <w:t xml:space="preserve">info@seefar.org • </w:t>
    </w:r>
    <w:hyperlink r:id="rId1" w:history="1">
      <w:r w:rsidRPr="007B5375">
        <w:rPr>
          <w:rStyle w:val="NewEmailWebChar"/>
          <w:color w:val="FFFFFF" w:themeColor="background1"/>
        </w:rPr>
        <w:t>www.seefar.org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7BCE5" w14:textId="5E71F6BA" w:rsidR="00F52A18" w:rsidRDefault="00F52A18" w:rsidP="00B0624C">
    <w:pPr>
      <w:pStyle w:val="NewWebsite"/>
      <w:jc w:val="left"/>
    </w:pPr>
    <w:r>
      <w:tab/>
    </w:r>
    <w:r w:rsidRPr="008A4D74">
      <w:t>www.seefar.org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A8C27" w14:textId="77777777" w:rsidR="00F52A18" w:rsidRDefault="00F52A18" w:rsidP="0042366B">
    <w:pPr>
      <w:pStyle w:val="Footer"/>
      <w:jc w:val="center"/>
      <w:rPr>
        <w:rStyle w:val="NewEmailWebChar"/>
        <w:color w:val="58585B"/>
      </w:rPr>
    </w:pPr>
  </w:p>
  <w:p w14:paraId="739F86F6" w14:textId="77777777" w:rsidR="00F52A18" w:rsidRDefault="00F52A18" w:rsidP="0042366B">
    <w:pPr>
      <w:pStyle w:val="Footer"/>
      <w:jc w:val="center"/>
      <w:rPr>
        <w:rStyle w:val="NewEmailWebChar"/>
        <w:color w:val="58585B"/>
      </w:rPr>
    </w:pPr>
  </w:p>
  <w:p w14:paraId="4A09808E" w14:textId="77777777" w:rsidR="00F52A18" w:rsidRDefault="00F52A18" w:rsidP="0042366B">
    <w:pPr>
      <w:pStyle w:val="Footer"/>
      <w:jc w:val="center"/>
      <w:rPr>
        <w:rStyle w:val="NewEmailWebChar"/>
        <w:color w:val="58585B"/>
      </w:rPr>
    </w:pPr>
  </w:p>
  <w:p w14:paraId="6995A4B8" w14:textId="77777777" w:rsidR="00F52A18" w:rsidRPr="007B5375" w:rsidRDefault="00F52A18" w:rsidP="0042366B">
    <w:pPr>
      <w:pStyle w:val="Footer"/>
      <w:jc w:val="center"/>
      <w:rPr>
        <w:color w:val="FFFFFF" w:themeColor="background1"/>
      </w:rPr>
    </w:pPr>
    <w:r w:rsidRPr="007B5375">
      <w:rPr>
        <w:rStyle w:val="NewEmailWebChar"/>
        <w:color w:val="FFFFFF" w:themeColor="background1"/>
      </w:rPr>
      <w:t xml:space="preserve">info@seefar.org • </w:t>
    </w:r>
    <w:hyperlink r:id="rId1" w:history="1">
      <w:r w:rsidRPr="007B5375">
        <w:rPr>
          <w:rStyle w:val="NewEmailWebChar"/>
          <w:color w:val="FFFFFF" w:themeColor="background1"/>
        </w:rPr>
        <w:t>www.seefar.org</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4F7EC" w14:textId="77777777" w:rsidR="00F52A18" w:rsidRDefault="00F52A18" w:rsidP="00CD1FD8">
    <w:pPr>
      <w:pStyle w:val="Footer"/>
      <w:jc w:val="center"/>
      <w:rPr>
        <w:rStyle w:val="NewEmailWebChar"/>
        <w:color w:val="58585B"/>
      </w:rPr>
    </w:pPr>
  </w:p>
  <w:p w14:paraId="5617F2CC" w14:textId="77777777" w:rsidR="00F52A18" w:rsidRDefault="00F52A18" w:rsidP="00CD1FD8">
    <w:pPr>
      <w:pStyle w:val="Footer"/>
      <w:jc w:val="center"/>
      <w:rPr>
        <w:rStyle w:val="NewEmailWebChar"/>
        <w:color w:val="58585B"/>
      </w:rPr>
    </w:pPr>
  </w:p>
  <w:p w14:paraId="6FCA62AF" w14:textId="77777777" w:rsidR="00F52A18" w:rsidRPr="000C77BC" w:rsidRDefault="00F52A18" w:rsidP="00CD1FD8">
    <w:pPr>
      <w:pStyle w:val="Footer"/>
      <w:jc w:val="center"/>
      <w:rPr>
        <w:color w:val="58585B"/>
      </w:rPr>
    </w:pPr>
    <w:r w:rsidRPr="000C77BC">
      <w:rPr>
        <w:rStyle w:val="NewEmailWebChar"/>
        <w:color w:val="58585B"/>
      </w:rPr>
      <w:t xml:space="preserve">info@seefar.org • </w:t>
    </w:r>
    <w:hyperlink r:id="rId1" w:history="1">
      <w:r w:rsidRPr="000C77BC">
        <w:rPr>
          <w:rStyle w:val="NewEmailWebChar"/>
          <w:color w:val="58585B"/>
        </w:rPr>
        <w:t>www.seefar.org</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393357"/>
      <w:docPartObj>
        <w:docPartGallery w:val="Page Numbers (Bottom of Page)"/>
        <w:docPartUnique/>
      </w:docPartObj>
    </w:sdtPr>
    <w:sdtEndPr>
      <w:rPr>
        <w:noProof/>
      </w:rPr>
    </w:sdtEndPr>
    <w:sdtContent>
      <w:p w14:paraId="33C843D1" w14:textId="77777777" w:rsidR="00F52A18" w:rsidRDefault="00F52A18">
        <w:pPr>
          <w:pStyle w:val="Footer"/>
          <w:jc w:val="center"/>
        </w:pPr>
      </w:p>
      <w:p w14:paraId="24DE6911" w14:textId="539D2CBA" w:rsidR="00F52A18" w:rsidRDefault="00F52A18">
        <w:pPr>
          <w:pStyle w:val="Footer"/>
          <w:jc w:val="center"/>
        </w:pPr>
        <w:r>
          <w:fldChar w:fldCharType="begin"/>
        </w:r>
        <w:r>
          <w:instrText xml:space="preserve"> PAGE   \* MERGEFORMAT </w:instrText>
        </w:r>
        <w:r>
          <w:fldChar w:fldCharType="separate"/>
        </w:r>
        <w:r w:rsidR="000304AC">
          <w:rPr>
            <w:noProof/>
          </w:rPr>
          <w:t>ii</w:t>
        </w:r>
        <w:r>
          <w:rPr>
            <w:noProof/>
          </w:rPr>
          <w:fldChar w:fldCharType="end"/>
        </w:r>
      </w:p>
    </w:sdtContent>
  </w:sdt>
  <w:p w14:paraId="0371773D" w14:textId="77777777" w:rsidR="00F52A18" w:rsidRDefault="00F52A18" w:rsidP="00CA723D">
    <w:pPr>
      <w:pStyle w:val="NewPageNumber"/>
      <w:tabs>
        <w:tab w:val="center" w:pos="3584"/>
        <w:tab w:val="right" w:pos="9639"/>
      </w:tabs>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774355"/>
      <w:docPartObj>
        <w:docPartGallery w:val="Page Numbers (Bottom of Page)"/>
        <w:docPartUnique/>
      </w:docPartObj>
    </w:sdtPr>
    <w:sdtEndPr>
      <w:rPr>
        <w:noProof/>
      </w:rPr>
    </w:sdtEndPr>
    <w:sdtContent>
      <w:p w14:paraId="70FB73E0" w14:textId="77777777" w:rsidR="00F52A18" w:rsidRDefault="00F52A18" w:rsidP="006307F4">
        <w:pPr>
          <w:pStyle w:val="NewPageNumber"/>
          <w:tabs>
            <w:tab w:val="center" w:pos="3584"/>
            <w:tab w:val="right" w:pos="9639"/>
          </w:tabs>
        </w:pPr>
      </w:p>
      <w:p w14:paraId="79995D25" w14:textId="77777777" w:rsidR="00F52A18" w:rsidRDefault="00C67CA6" w:rsidP="00CA723D">
        <w:pPr>
          <w:pStyle w:val="NewPageNumber"/>
          <w:tabs>
            <w:tab w:val="center" w:pos="3584"/>
            <w:tab w:val="right" w:pos="9639"/>
          </w:tabs>
          <w:jc w:val="right"/>
          <w:rPr>
            <w:noProof/>
          </w:rPr>
        </w:pPr>
      </w:p>
    </w:sdtContent>
  </w:sdt>
  <w:p w14:paraId="0B974F8D" w14:textId="3F73FF66" w:rsidR="00F52A18" w:rsidRPr="00BA7C87" w:rsidRDefault="00F52A18" w:rsidP="00BA7C87">
    <w:pPr>
      <w:pStyle w:val="NewPageNumber"/>
      <w:tabs>
        <w:tab w:val="center" w:pos="3584"/>
        <w:tab w:val="right" w:pos="9639"/>
      </w:tabs>
      <w:rPr>
        <w:sz w:val="18"/>
        <w:szCs w:val="18"/>
      </w:rPr>
    </w:pPr>
    <w:r w:rsidRPr="00BA7C87">
      <w:rPr>
        <w:noProof/>
        <w:sz w:val="18"/>
        <w:szCs w:val="18"/>
        <w:lang w:val="en-AU"/>
      </w:rPr>
      <w:t xml:space="preserve">— PAGE </w:t>
    </w:r>
    <w:r w:rsidRPr="00BA7C87">
      <w:rPr>
        <w:noProof/>
        <w:sz w:val="18"/>
        <w:szCs w:val="18"/>
        <w:lang w:val="en-AU"/>
      </w:rPr>
      <w:fldChar w:fldCharType="begin"/>
    </w:r>
    <w:r w:rsidRPr="00BA7C87">
      <w:rPr>
        <w:noProof/>
        <w:sz w:val="18"/>
        <w:szCs w:val="18"/>
        <w:lang w:val="en-AU"/>
      </w:rPr>
      <w:instrText xml:space="preserve"> PAGE   \* MERGEFORMAT </w:instrText>
    </w:r>
    <w:r w:rsidRPr="00BA7C87">
      <w:rPr>
        <w:noProof/>
        <w:sz w:val="18"/>
        <w:szCs w:val="18"/>
        <w:lang w:val="en-AU"/>
      </w:rPr>
      <w:fldChar w:fldCharType="separate"/>
    </w:r>
    <w:r w:rsidR="000304AC">
      <w:rPr>
        <w:noProof/>
        <w:sz w:val="18"/>
        <w:szCs w:val="18"/>
        <w:lang w:val="en-AU"/>
      </w:rPr>
      <w:t>14</w:t>
    </w:r>
    <w:r w:rsidRPr="00BA7C87">
      <w:rPr>
        <w:noProof/>
        <w:sz w:val="18"/>
        <w:szCs w:val="18"/>
      </w:rPr>
      <w:fldChar w:fldCharType="end"/>
    </w:r>
    <w:r w:rsidRPr="00BA7C87">
      <w:rPr>
        <w:noProof/>
        <w:sz w:val="18"/>
        <w:szCs w:val="18"/>
        <w:lang w:val="en-AU"/>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1E785" w14:textId="77777777" w:rsidR="00F52A18" w:rsidRPr="008A4D74" w:rsidRDefault="00F52A18" w:rsidP="00792F19">
    <w:pPr>
      <w:pStyle w:val="Website"/>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79A9C" w14:textId="77777777" w:rsidR="00F52A18" w:rsidRPr="00F3599B" w:rsidRDefault="00F52A18" w:rsidP="00F35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67AAA" w14:textId="77777777" w:rsidR="00C67CA6" w:rsidRDefault="00C67CA6" w:rsidP="00F47B74">
      <w:pPr>
        <w:spacing w:after="0" w:line="240" w:lineRule="auto"/>
      </w:pPr>
      <w:r>
        <w:separator/>
      </w:r>
    </w:p>
  </w:footnote>
  <w:footnote w:type="continuationSeparator" w:id="0">
    <w:p w14:paraId="05480535" w14:textId="77777777" w:rsidR="00C67CA6" w:rsidRDefault="00C67CA6" w:rsidP="00F47B74">
      <w:pPr>
        <w:spacing w:after="0" w:line="240" w:lineRule="auto"/>
      </w:pPr>
      <w:r>
        <w:continuationSeparator/>
      </w:r>
    </w:p>
  </w:footnote>
  <w:footnote w:id="1">
    <w:p w14:paraId="155E42D2" w14:textId="77777777" w:rsidR="00F52A18" w:rsidRDefault="00F52A18" w:rsidP="00527647">
      <w:pPr>
        <w:pStyle w:val="FootnoteText"/>
      </w:pPr>
      <w:r>
        <w:rPr>
          <w:rStyle w:val="FootnoteReference"/>
        </w:rPr>
        <w:footnoteRef/>
      </w:r>
      <w:r>
        <w:t xml:space="preserve"> </w:t>
      </w:r>
      <w:proofErr w:type="spellStart"/>
      <w:r>
        <w:t>Halili</w:t>
      </w:r>
      <w:proofErr w:type="spellEnd"/>
      <w:r>
        <w:t xml:space="preserve">, </w:t>
      </w:r>
      <w:proofErr w:type="spellStart"/>
      <w:r>
        <w:rPr>
          <w:i/>
          <w:iCs/>
        </w:rPr>
        <w:t>Supremasi</w:t>
      </w:r>
      <w:proofErr w:type="spellEnd"/>
      <w:r>
        <w:rPr>
          <w:i/>
          <w:iCs/>
        </w:rPr>
        <w:t xml:space="preserve"> </w:t>
      </w:r>
      <w:proofErr w:type="spellStart"/>
      <w:r>
        <w:rPr>
          <w:i/>
          <w:iCs/>
        </w:rPr>
        <w:t>Intoleransi</w:t>
      </w:r>
      <w:proofErr w:type="spellEnd"/>
      <w:r>
        <w:rPr>
          <w:i/>
          <w:iCs/>
        </w:rPr>
        <w:t xml:space="preserve">: </w:t>
      </w:r>
      <w:proofErr w:type="spellStart"/>
      <w:r>
        <w:rPr>
          <w:i/>
          <w:iCs/>
        </w:rPr>
        <w:t>Kondisi</w:t>
      </w:r>
      <w:proofErr w:type="spellEnd"/>
      <w:r>
        <w:rPr>
          <w:i/>
          <w:iCs/>
        </w:rPr>
        <w:t xml:space="preserve"> </w:t>
      </w:r>
      <w:proofErr w:type="spellStart"/>
      <w:r>
        <w:rPr>
          <w:i/>
          <w:iCs/>
        </w:rPr>
        <w:t>Kebebasan</w:t>
      </w:r>
      <w:proofErr w:type="spellEnd"/>
      <w:r>
        <w:rPr>
          <w:i/>
          <w:iCs/>
        </w:rPr>
        <w:t xml:space="preserve"> </w:t>
      </w:r>
      <w:proofErr w:type="spellStart"/>
      <w:r>
        <w:rPr>
          <w:i/>
          <w:iCs/>
        </w:rPr>
        <w:t>Beragama</w:t>
      </w:r>
      <w:proofErr w:type="spellEnd"/>
      <w:r>
        <w:rPr>
          <w:i/>
          <w:iCs/>
        </w:rPr>
        <w:t>/</w:t>
      </w:r>
      <w:proofErr w:type="spellStart"/>
      <w:r>
        <w:rPr>
          <w:i/>
          <w:iCs/>
        </w:rPr>
        <w:t>Berkeyakinan</w:t>
      </w:r>
      <w:proofErr w:type="spellEnd"/>
      <w:r>
        <w:rPr>
          <w:i/>
          <w:iCs/>
        </w:rPr>
        <w:t xml:space="preserve"> </w:t>
      </w:r>
      <w:proofErr w:type="spellStart"/>
      <w:r>
        <w:rPr>
          <w:i/>
          <w:iCs/>
        </w:rPr>
        <w:t>dan</w:t>
      </w:r>
      <w:proofErr w:type="spellEnd"/>
      <w:r>
        <w:rPr>
          <w:i/>
          <w:iCs/>
        </w:rPr>
        <w:t xml:space="preserve"> </w:t>
      </w:r>
      <w:proofErr w:type="spellStart"/>
      <w:r>
        <w:rPr>
          <w:i/>
          <w:iCs/>
        </w:rPr>
        <w:t>Minoritas</w:t>
      </w:r>
      <w:proofErr w:type="spellEnd"/>
      <w:r>
        <w:rPr>
          <w:i/>
          <w:iCs/>
        </w:rPr>
        <w:t xml:space="preserve"> </w:t>
      </w:r>
      <w:proofErr w:type="spellStart"/>
      <w:r>
        <w:rPr>
          <w:i/>
          <w:iCs/>
        </w:rPr>
        <w:t>Keagamaan</w:t>
      </w:r>
      <w:proofErr w:type="spellEnd"/>
      <w:r>
        <w:rPr>
          <w:i/>
          <w:iCs/>
        </w:rPr>
        <w:t xml:space="preserve"> di Indonesia 2016, </w:t>
      </w:r>
      <w:r>
        <w:t xml:space="preserve">Jakarta: </w:t>
      </w:r>
      <w:proofErr w:type="spellStart"/>
      <w:r>
        <w:t>Pustaka</w:t>
      </w:r>
      <w:proofErr w:type="spellEnd"/>
      <w:r>
        <w:t xml:space="preserve"> Masyarakat </w:t>
      </w:r>
      <w:proofErr w:type="spellStart"/>
      <w:r>
        <w:t>Setara</w:t>
      </w:r>
      <w:proofErr w:type="spellEnd"/>
      <w:r>
        <w:t>, 2017</w:t>
      </w:r>
    </w:p>
  </w:footnote>
  <w:footnote w:id="2">
    <w:p w14:paraId="5C3630A1" w14:textId="77777777" w:rsidR="00F52A18" w:rsidRDefault="00F52A18" w:rsidP="00527647">
      <w:pPr>
        <w:pStyle w:val="FootnoteText"/>
      </w:pPr>
      <w:r>
        <w:rPr>
          <w:rStyle w:val="FootnoteReference"/>
        </w:rPr>
        <w:footnoteRef/>
      </w:r>
      <w:r>
        <w:t xml:space="preserve"> </w:t>
      </w:r>
      <w:proofErr w:type="spellStart"/>
      <w:r>
        <w:t>Halili</w:t>
      </w:r>
      <w:proofErr w:type="spellEnd"/>
      <w:r>
        <w:t xml:space="preserve">, </w:t>
      </w:r>
      <w:proofErr w:type="spellStart"/>
      <w:r>
        <w:rPr>
          <w:i/>
          <w:iCs/>
        </w:rPr>
        <w:t>Politik</w:t>
      </w:r>
      <w:proofErr w:type="spellEnd"/>
      <w:r>
        <w:rPr>
          <w:i/>
          <w:iCs/>
        </w:rPr>
        <w:t xml:space="preserve"> </w:t>
      </w:r>
      <w:proofErr w:type="spellStart"/>
      <w:r>
        <w:rPr>
          <w:i/>
          <w:iCs/>
        </w:rPr>
        <w:t>Harapan</w:t>
      </w:r>
      <w:proofErr w:type="spellEnd"/>
      <w:r>
        <w:rPr>
          <w:i/>
          <w:iCs/>
        </w:rPr>
        <w:t xml:space="preserve"> Minim </w:t>
      </w:r>
      <w:proofErr w:type="spellStart"/>
      <w:r>
        <w:rPr>
          <w:i/>
          <w:iCs/>
        </w:rPr>
        <w:t>Pembuktian</w:t>
      </w:r>
      <w:proofErr w:type="spellEnd"/>
      <w:r>
        <w:rPr>
          <w:i/>
          <w:iCs/>
        </w:rPr>
        <w:t xml:space="preserve">: </w:t>
      </w:r>
      <w:proofErr w:type="spellStart"/>
      <w:r>
        <w:rPr>
          <w:i/>
          <w:iCs/>
        </w:rPr>
        <w:t>Laporan</w:t>
      </w:r>
      <w:proofErr w:type="spellEnd"/>
      <w:r>
        <w:rPr>
          <w:i/>
          <w:iCs/>
        </w:rPr>
        <w:t xml:space="preserve"> </w:t>
      </w:r>
      <w:proofErr w:type="spellStart"/>
      <w:r>
        <w:rPr>
          <w:i/>
          <w:iCs/>
        </w:rPr>
        <w:t>Kondisi</w:t>
      </w:r>
      <w:proofErr w:type="spellEnd"/>
      <w:r>
        <w:rPr>
          <w:i/>
          <w:iCs/>
        </w:rPr>
        <w:t xml:space="preserve"> </w:t>
      </w:r>
      <w:proofErr w:type="spellStart"/>
      <w:r>
        <w:rPr>
          <w:i/>
          <w:iCs/>
        </w:rPr>
        <w:t>Kebebasan</w:t>
      </w:r>
      <w:proofErr w:type="spellEnd"/>
      <w:r>
        <w:rPr>
          <w:i/>
          <w:iCs/>
        </w:rPr>
        <w:t xml:space="preserve"> </w:t>
      </w:r>
      <w:proofErr w:type="spellStart"/>
      <w:r>
        <w:rPr>
          <w:i/>
          <w:iCs/>
        </w:rPr>
        <w:t>Beragama</w:t>
      </w:r>
      <w:proofErr w:type="spellEnd"/>
      <w:r>
        <w:rPr>
          <w:i/>
          <w:iCs/>
        </w:rPr>
        <w:t>/</w:t>
      </w:r>
      <w:proofErr w:type="spellStart"/>
      <w:r>
        <w:rPr>
          <w:i/>
          <w:iCs/>
        </w:rPr>
        <w:t>Berkeyakinan</w:t>
      </w:r>
      <w:proofErr w:type="spellEnd"/>
      <w:r>
        <w:rPr>
          <w:i/>
          <w:iCs/>
        </w:rPr>
        <w:t xml:space="preserve"> di Indonesia 2015, </w:t>
      </w:r>
      <w:r>
        <w:t xml:space="preserve">Jakarta: </w:t>
      </w:r>
      <w:proofErr w:type="spellStart"/>
      <w:r>
        <w:t>Pustaka</w:t>
      </w:r>
      <w:proofErr w:type="spellEnd"/>
      <w:r>
        <w:t xml:space="preserve"> Masyarakat </w:t>
      </w:r>
      <w:proofErr w:type="spellStart"/>
      <w:r>
        <w:t>Setara</w:t>
      </w:r>
      <w:proofErr w:type="spellEnd"/>
      <w:r>
        <w:t>, 2016</w:t>
      </w:r>
    </w:p>
  </w:footnote>
  <w:footnote w:id="3">
    <w:p w14:paraId="25F46F20" w14:textId="77777777" w:rsidR="00F52A18" w:rsidRDefault="00F52A18" w:rsidP="00527647">
      <w:pPr>
        <w:pStyle w:val="FootnoteText"/>
      </w:pPr>
      <w:r>
        <w:rPr>
          <w:rStyle w:val="FootnoteReference"/>
        </w:rPr>
        <w:footnoteRef/>
      </w:r>
      <w:r>
        <w:t xml:space="preserve"> </w:t>
      </w:r>
      <w:r w:rsidRPr="00193D55">
        <w:t>http://www.uscirf.gov/sites/default/files/USCIRF%202016%20Annual%20Report.pdf</w:t>
      </w:r>
    </w:p>
  </w:footnote>
  <w:footnote w:id="4">
    <w:p w14:paraId="7338FB22" w14:textId="77777777" w:rsidR="00F52A18" w:rsidRDefault="00F52A18" w:rsidP="00527647">
      <w:pPr>
        <w:pStyle w:val="FootnoteText"/>
      </w:pPr>
      <w:r>
        <w:rPr>
          <w:rStyle w:val="FootnoteReference"/>
        </w:rPr>
        <w:footnoteRef/>
      </w:r>
      <w:r>
        <w:t xml:space="preserve"> </w:t>
      </w:r>
      <w:proofErr w:type="spellStart"/>
      <w:r>
        <w:t>Badan</w:t>
      </w:r>
      <w:proofErr w:type="spellEnd"/>
      <w:r>
        <w:t xml:space="preserve"> </w:t>
      </w:r>
      <w:proofErr w:type="spellStart"/>
      <w:r>
        <w:t>Pusat</w:t>
      </w:r>
      <w:proofErr w:type="spellEnd"/>
      <w:r>
        <w:t xml:space="preserve"> </w:t>
      </w:r>
      <w:proofErr w:type="spellStart"/>
      <w:r>
        <w:t>Statistik</w:t>
      </w:r>
      <w:proofErr w:type="spellEnd"/>
      <w:r>
        <w:t xml:space="preserve">: </w:t>
      </w:r>
      <w:r w:rsidRPr="00DF3B1E">
        <w:t>http://sp2010.bps.go.id/index.php/site/tabel?tid=321&amp;wid=0</w:t>
      </w:r>
    </w:p>
  </w:footnote>
  <w:footnote w:id="5">
    <w:p w14:paraId="382C64F9" w14:textId="75C1FC94" w:rsidR="00F52A18" w:rsidRDefault="00F52A18">
      <w:pPr>
        <w:pStyle w:val="FootnoteText"/>
      </w:pPr>
      <w:r>
        <w:rPr>
          <w:rStyle w:val="FootnoteReference"/>
        </w:rPr>
        <w:footnoteRef/>
      </w:r>
      <w:r>
        <w:t xml:space="preserve"> </w:t>
      </w:r>
      <w:proofErr w:type="spellStart"/>
      <w:r>
        <w:t>Setara</w:t>
      </w:r>
      <w:proofErr w:type="spellEnd"/>
      <w:r>
        <w:t xml:space="preserve"> measures since 2007 the number of incidents against freedom of religion and belief in Indonesia.</w:t>
      </w:r>
    </w:p>
  </w:footnote>
  <w:footnote w:id="6">
    <w:p w14:paraId="0A0A2ECD" w14:textId="77777777" w:rsidR="00F52A18" w:rsidRDefault="00F52A18" w:rsidP="008C6FB4">
      <w:pPr>
        <w:pStyle w:val="FootnoteText"/>
      </w:pPr>
      <w:r>
        <w:rPr>
          <w:rStyle w:val="FootnoteReference"/>
        </w:rPr>
        <w:footnoteRef/>
      </w:r>
      <w:r>
        <w:t xml:space="preserve"> </w:t>
      </w:r>
      <w:proofErr w:type="spellStart"/>
      <w:r>
        <w:t>Platzdasch</w:t>
      </w:r>
      <w:proofErr w:type="spellEnd"/>
      <w:r>
        <w:t xml:space="preserve">, Bernard (2011), ‘Religious freedom in Indonesia: the case of the </w:t>
      </w:r>
      <w:proofErr w:type="spellStart"/>
      <w:r>
        <w:t>Ahmadiyah</w:t>
      </w:r>
      <w:proofErr w:type="spellEnd"/>
      <w:r>
        <w:t>,’ ISEAS Working Paper: Politics &amp; Security Series, No. 2, Singapore. http://www.iseas.edu.sg/documents/publication/ps22011R.pdf</w:t>
      </w:r>
    </w:p>
  </w:footnote>
  <w:footnote w:id="7">
    <w:p w14:paraId="43B22911" w14:textId="77777777" w:rsidR="00F52A18" w:rsidRDefault="00F52A18" w:rsidP="008C6FB4">
      <w:pPr>
        <w:pStyle w:val="FootnoteText"/>
      </w:pPr>
      <w:r>
        <w:rPr>
          <w:rStyle w:val="FootnoteReference"/>
        </w:rPr>
        <w:footnoteRef/>
      </w:r>
      <w:r>
        <w:t xml:space="preserve"> </w:t>
      </w:r>
      <w:r w:rsidRPr="00A309C9">
        <w:t xml:space="preserve">Crouch, M. (2009). Indonesia, militant Islam and </w:t>
      </w:r>
      <w:proofErr w:type="spellStart"/>
      <w:r w:rsidRPr="00A309C9">
        <w:t>Ahmadiyah</w:t>
      </w:r>
      <w:proofErr w:type="spellEnd"/>
      <w:r w:rsidRPr="00A309C9">
        <w:t>: Origins and implications. Melbourne: ARC Federation Fellowship, Centre for Islamic Law and Society, Melbourne Law School, University of Melbourne.</w:t>
      </w:r>
    </w:p>
  </w:footnote>
  <w:footnote w:id="8">
    <w:p w14:paraId="24DE4CAA" w14:textId="77777777" w:rsidR="00F52A18" w:rsidRDefault="00F52A18" w:rsidP="008C6FB4">
      <w:pPr>
        <w:pStyle w:val="FootnoteText"/>
      </w:pPr>
      <w:r>
        <w:rPr>
          <w:rStyle w:val="FootnoteReference"/>
        </w:rPr>
        <w:footnoteRef/>
      </w:r>
      <w:r>
        <w:t xml:space="preserve"> </w:t>
      </w:r>
      <w:proofErr w:type="spellStart"/>
      <w:r>
        <w:t>Burhani</w:t>
      </w:r>
      <w:proofErr w:type="spellEnd"/>
      <w:r>
        <w:t xml:space="preserve">, A.N. </w:t>
      </w:r>
      <w:proofErr w:type="spellStart"/>
      <w:r>
        <w:t>Cont</w:t>
      </w:r>
      <w:proofErr w:type="spellEnd"/>
      <w:r>
        <w:t xml:space="preserve"> Islam (2014) 8: 285. doi:10.1007/s11562-013-0278-3</w:t>
      </w:r>
    </w:p>
  </w:footnote>
  <w:footnote w:id="9">
    <w:p w14:paraId="11ABBA9D" w14:textId="77777777" w:rsidR="00F52A18" w:rsidRDefault="00F52A18" w:rsidP="002E1104">
      <w:pPr>
        <w:pStyle w:val="FootnoteText"/>
      </w:pPr>
      <w:r>
        <w:rPr>
          <w:rStyle w:val="FootnoteReference"/>
        </w:rPr>
        <w:footnoteRef/>
      </w:r>
      <w:r>
        <w:t xml:space="preserve"> http://www.bppk.kemenkeu.go.id/publikasi/artikel/167-artikel-pajak/21014</w:t>
      </w:r>
    </w:p>
  </w:footnote>
  <w:footnote w:id="10">
    <w:p w14:paraId="7F2FE747" w14:textId="77777777" w:rsidR="00F52A18" w:rsidRPr="005E0830" w:rsidRDefault="00F52A18" w:rsidP="005E0830">
      <w:pPr>
        <w:pStyle w:val="FootnoteText"/>
        <w:rPr>
          <w:rFonts w:ascii="Calibri" w:hAnsi="Calibri"/>
          <w:color w:val="auto"/>
        </w:rPr>
      </w:pPr>
      <w:r>
        <w:rPr>
          <w:rStyle w:val="FootnoteReference"/>
        </w:rPr>
        <w:footnoteRef/>
      </w:r>
      <w:r>
        <w:t xml:space="preserve"> </w:t>
      </w:r>
      <w:r w:rsidRPr="005E0830">
        <w:rPr>
          <w:rFonts w:ascii="Calibri" w:hAnsi="Calibri"/>
          <w:color w:val="auto"/>
        </w:rPr>
        <w:t>See Combating discrimination based on religion and belief, available at: (</w:t>
      </w:r>
      <w:hyperlink r:id="rId1" w:history="1">
        <w:r w:rsidRPr="005E0830">
          <w:rPr>
            <w:rFonts w:ascii="Calibri" w:hAnsi="Calibri"/>
            <w:color w:val="984D0F"/>
            <w:u w:val="single"/>
          </w:rPr>
          <w:t>http://www.ohchr.org/EN/AboutUs/Pages/DiscriminationReligionOrBelief.aspx</w:t>
        </w:r>
      </w:hyperlink>
      <w:r>
        <w:rPr>
          <w:rFonts w:ascii="Calibri" w:hAnsi="Calibri"/>
          <w:color w:val="auto"/>
        </w:rPr>
        <w:t>), last accessed: 22 July</w:t>
      </w:r>
      <w:r w:rsidRPr="005E0830">
        <w:rPr>
          <w:rFonts w:ascii="Calibri" w:hAnsi="Calibri"/>
          <w:color w:val="auto"/>
        </w:rPr>
        <w:t xml:space="preserve"> 2016</w:t>
      </w:r>
    </w:p>
    <w:p w14:paraId="6BC8809B" w14:textId="77777777" w:rsidR="00F52A18" w:rsidRDefault="00F52A18">
      <w:pPr>
        <w:pStyle w:val="FootnoteText"/>
      </w:pPr>
    </w:p>
  </w:footnote>
  <w:footnote w:id="11">
    <w:p w14:paraId="7B19A99B" w14:textId="77777777" w:rsidR="00F52A18" w:rsidRDefault="00F52A18" w:rsidP="00E82E93">
      <w:pPr>
        <w:pStyle w:val="FootnoteText"/>
      </w:pPr>
      <w:r>
        <w:rPr>
          <w:rStyle w:val="FootnoteReference"/>
        </w:rPr>
        <w:footnoteRef/>
      </w:r>
      <w:r>
        <w:t xml:space="preserve"> </w:t>
      </w:r>
      <w:proofErr w:type="spellStart"/>
      <w:r>
        <w:t>Halili</w:t>
      </w:r>
      <w:proofErr w:type="spellEnd"/>
      <w:r>
        <w:t xml:space="preserve">, </w:t>
      </w:r>
      <w:proofErr w:type="spellStart"/>
      <w:r>
        <w:rPr>
          <w:i/>
          <w:iCs/>
        </w:rPr>
        <w:t>Supremasi</w:t>
      </w:r>
      <w:proofErr w:type="spellEnd"/>
      <w:r>
        <w:rPr>
          <w:i/>
          <w:iCs/>
        </w:rPr>
        <w:t xml:space="preserve"> </w:t>
      </w:r>
      <w:proofErr w:type="spellStart"/>
      <w:r>
        <w:rPr>
          <w:i/>
          <w:iCs/>
        </w:rPr>
        <w:t>Intoleransi</w:t>
      </w:r>
      <w:proofErr w:type="spellEnd"/>
      <w:r>
        <w:rPr>
          <w:i/>
          <w:iCs/>
        </w:rPr>
        <w:t xml:space="preserve">: </w:t>
      </w:r>
      <w:proofErr w:type="spellStart"/>
      <w:r>
        <w:rPr>
          <w:i/>
          <w:iCs/>
        </w:rPr>
        <w:t>Kondisi</w:t>
      </w:r>
      <w:proofErr w:type="spellEnd"/>
      <w:r>
        <w:rPr>
          <w:i/>
          <w:iCs/>
        </w:rPr>
        <w:t xml:space="preserve"> </w:t>
      </w:r>
      <w:proofErr w:type="spellStart"/>
      <w:r>
        <w:rPr>
          <w:i/>
          <w:iCs/>
        </w:rPr>
        <w:t>Kebebasan</w:t>
      </w:r>
      <w:proofErr w:type="spellEnd"/>
      <w:r>
        <w:rPr>
          <w:i/>
          <w:iCs/>
        </w:rPr>
        <w:t xml:space="preserve"> </w:t>
      </w:r>
      <w:proofErr w:type="spellStart"/>
      <w:r>
        <w:rPr>
          <w:i/>
          <w:iCs/>
        </w:rPr>
        <w:t>Beragama</w:t>
      </w:r>
      <w:proofErr w:type="spellEnd"/>
      <w:r>
        <w:rPr>
          <w:i/>
          <w:iCs/>
        </w:rPr>
        <w:t>/</w:t>
      </w:r>
      <w:proofErr w:type="spellStart"/>
      <w:r>
        <w:rPr>
          <w:i/>
          <w:iCs/>
        </w:rPr>
        <w:t>Berkeyakinan</w:t>
      </w:r>
      <w:proofErr w:type="spellEnd"/>
      <w:r>
        <w:rPr>
          <w:i/>
          <w:iCs/>
        </w:rPr>
        <w:t xml:space="preserve"> </w:t>
      </w:r>
      <w:proofErr w:type="spellStart"/>
      <w:r>
        <w:rPr>
          <w:i/>
          <w:iCs/>
        </w:rPr>
        <w:t>dan</w:t>
      </w:r>
      <w:proofErr w:type="spellEnd"/>
      <w:r>
        <w:rPr>
          <w:i/>
          <w:iCs/>
        </w:rPr>
        <w:t xml:space="preserve"> </w:t>
      </w:r>
      <w:proofErr w:type="spellStart"/>
      <w:r>
        <w:rPr>
          <w:i/>
          <w:iCs/>
        </w:rPr>
        <w:t>Minoritas</w:t>
      </w:r>
      <w:proofErr w:type="spellEnd"/>
      <w:r>
        <w:rPr>
          <w:i/>
          <w:iCs/>
        </w:rPr>
        <w:t xml:space="preserve"> </w:t>
      </w:r>
      <w:proofErr w:type="spellStart"/>
      <w:r>
        <w:rPr>
          <w:i/>
          <w:iCs/>
        </w:rPr>
        <w:t>Keagamaan</w:t>
      </w:r>
      <w:proofErr w:type="spellEnd"/>
      <w:r>
        <w:rPr>
          <w:i/>
          <w:iCs/>
        </w:rPr>
        <w:t xml:space="preserve"> di Indonesia 2016, </w:t>
      </w:r>
      <w:r>
        <w:t xml:space="preserve">Jakarta: </w:t>
      </w:r>
      <w:proofErr w:type="spellStart"/>
      <w:r>
        <w:t>Pustaka</w:t>
      </w:r>
      <w:proofErr w:type="spellEnd"/>
      <w:r>
        <w:t xml:space="preserve"> Masyarakat </w:t>
      </w:r>
      <w:proofErr w:type="spellStart"/>
      <w:r>
        <w:t>Setara</w:t>
      </w:r>
      <w:proofErr w:type="spellEnd"/>
      <w:r>
        <w:t>, 2017</w:t>
      </w:r>
    </w:p>
  </w:footnote>
  <w:footnote w:id="12">
    <w:p w14:paraId="5C243154" w14:textId="77777777" w:rsidR="00F52A18" w:rsidRDefault="00F52A18" w:rsidP="009E4F51">
      <w:pPr>
        <w:pStyle w:val="FootnoteText"/>
      </w:pPr>
      <w:r>
        <w:rPr>
          <w:rStyle w:val="FootnoteReference"/>
        </w:rPr>
        <w:footnoteRef/>
      </w:r>
      <w:r>
        <w:t xml:space="preserve"> </w:t>
      </w:r>
      <w:proofErr w:type="spellStart"/>
      <w:r>
        <w:t>Platzdasch</w:t>
      </w:r>
      <w:proofErr w:type="spellEnd"/>
      <w:r>
        <w:t xml:space="preserve">, Bernard (2011), ‘Religious freedom in Indonesia: the case of the </w:t>
      </w:r>
      <w:proofErr w:type="spellStart"/>
      <w:r>
        <w:t>Ahmadiyah</w:t>
      </w:r>
      <w:proofErr w:type="spellEnd"/>
      <w:r>
        <w:t>,’ ISEAS Working Paper: Politics &amp; Security Series, No. 2, Singapore. http://www.iseas.edu.sg/documents/publication/ps22011R.pdf</w:t>
      </w:r>
    </w:p>
    <w:p w14:paraId="021CF741" w14:textId="1A138BAC" w:rsidR="00F52A18" w:rsidRDefault="00F52A18">
      <w:pPr>
        <w:pStyle w:val="FootnoteText"/>
      </w:pPr>
    </w:p>
  </w:footnote>
  <w:footnote w:id="13">
    <w:p w14:paraId="5F510FC2" w14:textId="77777777" w:rsidR="00F52A18" w:rsidRDefault="00F52A18" w:rsidP="00194740">
      <w:pPr>
        <w:pStyle w:val="FootnoteText"/>
      </w:pPr>
      <w:r>
        <w:rPr>
          <w:rStyle w:val="FootnoteReference"/>
        </w:rPr>
        <w:footnoteRef/>
      </w:r>
      <w:r>
        <w:t xml:space="preserve"> A. </w:t>
      </w:r>
      <w:proofErr w:type="spellStart"/>
      <w:r>
        <w:t>Scolnicov</w:t>
      </w:r>
      <w:proofErr w:type="spellEnd"/>
      <w:r>
        <w:t>, ‘The Right to Religious Freedom in International Law: Between Group Rights and Individual Rights’, Routledge Taylor &amp; Francis Group, 2011, p. 31</w:t>
      </w:r>
    </w:p>
  </w:footnote>
  <w:footnote w:id="14">
    <w:p w14:paraId="43D6616A" w14:textId="77777777" w:rsidR="00F52A18" w:rsidRDefault="00F52A18" w:rsidP="00194740">
      <w:pPr>
        <w:pStyle w:val="FootnoteText"/>
      </w:pPr>
      <w:r>
        <w:rPr>
          <w:rStyle w:val="FootnoteReference"/>
        </w:rPr>
        <w:footnoteRef/>
      </w:r>
      <w:r>
        <w:t xml:space="preserve"> Ibid, p. 24</w:t>
      </w:r>
    </w:p>
  </w:footnote>
  <w:footnote w:id="15">
    <w:p w14:paraId="1263F47B" w14:textId="77777777" w:rsidR="00F52A18" w:rsidRPr="003933EF" w:rsidRDefault="00F52A18" w:rsidP="00194740">
      <w:pPr>
        <w:pStyle w:val="FootnoteText"/>
        <w:rPr>
          <w:lang w:val="en-AU"/>
        </w:rPr>
      </w:pPr>
      <w:r>
        <w:rPr>
          <w:rStyle w:val="FootnoteReference"/>
        </w:rPr>
        <w:footnoteRef/>
      </w:r>
      <w:r>
        <w:t xml:space="preserve"> </w:t>
      </w:r>
      <w:r w:rsidRPr="00013D38">
        <w:t>Article 18 of the Universal Declaration of Human Rights (UDHR), Article 18 (1) of the International Covenant on Civil and Political Rights (ICCPR), Article 2 (2) and Article 13 (1) of the International Covenant on Economic, Soci</w:t>
      </w:r>
      <w:r>
        <w:t xml:space="preserve">al and Cultural Rights (ICESCR), </w:t>
      </w:r>
      <w:r w:rsidRPr="00013D38">
        <w:t>Article 9 (1) of the European Co</w:t>
      </w:r>
      <w:r>
        <w:t xml:space="preserve">nvention on Human Rights (ECHR) and </w:t>
      </w:r>
      <w:r w:rsidRPr="00013D38">
        <w:t>Article 1 (1) of the 1981 Declaration on the Elimination of All Forms of Intolerance and of Discrimination Based on Religion or Belief</w:t>
      </w:r>
      <w:r>
        <w:t xml:space="preserve"> </w:t>
      </w:r>
    </w:p>
  </w:footnote>
  <w:footnote w:id="16">
    <w:p w14:paraId="1FA6C56A" w14:textId="77777777" w:rsidR="00F52A18" w:rsidRPr="00EB7A05" w:rsidRDefault="00F52A18" w:rsidP="00194740">
      <w:pPr>
        <w:pStyle w:val="FootnoteText"/>
      </w:pPr>
      <w:r>
        <w:rPr>
          <w:rStyle w:val="FootnoteReference"/>
        </w:rPr>
        <w:footnoteRef/>
      </w:r>
      <w:r>
        <w:t xml:space="preserve"> </w:t>
      </w:r>
      <w:r w:rsidRPr="00EB7A05">
        <w:t>UN Human Rights Committee (HRC), ‘CCPR General Comment 22: Article 18 (Freedom of Thought, Conscience or Religion)’, 30 July 1993, CCPR/C/21/Rev.1/Add.4, para 2, available at (http://www.refworld.org/docid/453883fb22.html), last accessed: 21 June 2016</w:t>
      </w:r>
    </w:p>
  </w:footnote>
  <w:footnote w:id="17">
    <w:p w14:paraId="5BF025DC" w14:textId="77777777" w:rsidR="00F52A18" w:rsidRDefault="00F52A18" w:rsidP="00194740">
      <w:pPr>
        <w:pStyle w:val="FootnoteText"/>
      </w:pPr>
      <w:r>
        <w:rPr>
          <w:rStyle w:val="FootnoteReference"/>
        </w:rPr>
        <w:footnoteRef/>
      </w:r>
      <w:r>
        <w:t xml:space="preserve"> Ibid, para. 8</w:t>
      </w:r>
    </w:p>
  </w:footnote>
  <w:footnote w:id="18">
    <w:p w14:paraId="26E94529" w14:textId="77777777" w:rsidR="00F52A18" w:rsidRDefault="00F52A18" w:rsidP="00194740">
      <w:pPr>
        <w:pStyle w:val="FootnoteText"/>
      </w:pPr>
      <w:r>
        <w:rPr>
          <w:rStyle w:val="FootnoteReference"/>
        </w:rPr>
        <w:footnoteRef/>
      </w:r>
      <w:r>
        <w:t xml:space="preserve"> </w:t>
      </w:r>
      <w:r w:rsidRPr="00331064">
        <w:t xml:space="preserve">M. </w:t>
      </w:r>
      <w:proofErr w:type="spellStart"/>
      <w:r w:rsidRPr="00331064">
        <w:t>Scheinin</w:t>
      </w:r>
      <w:proofErr w:type="spellEnd"/>
      <w:r w:rsidRPr="00331064">
        <w:t xml:space="preserve">, ‘The United Nations International Covenant on Civil and Political Rights: Article 27 and other provisions’, p. 23 in K. </w:t>
      </w:r>
      <w:proofErr w:type="spellStart"/>
      <w:r w:rsidRPr="00331064">
        <w:t>Henrard</w:t>
      </w:r>
      <w:proofErr w:type="spellEnd"/>
      <w:r w:rsidRPr="00331064">
        <w:t xml:space="preserve"> and R. Dunbar (eds.), ‘Synergies in Minority Protection: European and International Law Perspectives’, (Cambridge, 2008)</w:t>
      </w:r>
    </w:p>
  </w:footnote>
  <w:footnote w:id="19">
    <w:p w14:paraId="5E0F005F" w14:textId="77777777" w:rsidR="00F52A18" w:rsidRDefault="00F52A18" w:rsidP="00194740">
      <w:pPr>
        <w:pStyle w:val="FootnoteText"/>
      </w:pPr>
      <w:r>
        <w:rPr>
          <w:rStyle w:val="FootnoteReference"/>
        </w:rPr>
        <w:footnoteRef/>
      </w:r>
      <w:r>
        <w:t xml:space="preserve"> N. </w:t>
      </w:r>
      <w:proofErr w:type="spellStart"/>
      <w:r>
        <w:t>Ghanea</w:t>
      </w:r>
      <w:proofErr w:type="spellEnd"/>
      <w:r>
        <w:t xml:space="preserve">, ‘The UN Human Rights Committee and Religious Minorities’, in D. M. Kirkham, ‘State Responses to Minority Religions’, </w:t>
      </w:r>
      <w:proofErr w:type="spellStart"/>
      <w:r>
        <w:t>Farnham</w:t>
      </w:r>
      <w:proofErr w:type="spellEnd"/>
      <w:r>
        <w:t xml:space="preserve">, Surrey: </w:t>
      </w:r>
      <w:proofErr w:type="spellStart"/>
      <w:r>
        <w:t>Ashgate</w:t>
      </w:r>
      <w:proofErr w:type="spellEnd"/>
      <w:r>
        <w:t xml:space="preserve"> (2013), eBook Religion Collection (EBSCOhost), p. 17</w:t>
      </w:r>
    </w:p>
  </w:footnote>
  <w:footnote w:id="20">
    <w:p w14:paraId="008E2B7C" w14:textId="77777777" w:rsidR="00F52A18" w:rsidRPr="00667687" w:rsidRDefault="00F52A18" w:rsidP="00194740">
      <w:pPr>
        <w:pStyle w:val="FootnoteText"/>
      </w:pPr>
      <w:r>
        <w:rPr>
          <w:rStyle w:val="FootnoteReference"/>
        </w:rPr>
        <w:footnoteRef/>
      </w:r>
      <w:r>
        <w:t xml:space="preserve"> See Combating discrimination based on religion and belief, available at: (</w:t>
      </w:r>
      <w:hyperlink r:id="rId2" w:history="1">
        <w:r w:rsidRPr="001E100B">
          <w:rPr>
            <w:rStyle w:val="Hyperlink"/>
          </w:rPr>
          <w:t>http://www.ohchr.org/EN/AboutUs/Pages/DiscriminationReligionOrBelief.aspx</w:t>
        </w:r>
      </w:hyperlink>
      <w:r>
        <w:t>), last accessed: 22 July 2016</w:t>
      </w:r>
    </w:p>
  </w:footnote>
  <w:footnote w:id="21">
    <w:p w14:paraId="6926E7E5" w14:textId="77777777" w:rsidR="00F52A18" w:rsidRDefault="00F52A18" w:rsidP="00194740">
      <w:pPr>
        <w:pStyle w:val="FootnoteText"/>
      </w:pPr>
      <w:r>
        <w:rPr>
          <w:rStyle w:val="FootnoteReference"/>
        </w:rPr>
        <w:footnoteRef/>
      </w:r>
      <w:r>
        <w:t xml:space="preserve"> Police circular letter Number: SE/06/X/2015 </w:t>
      </w:r>
    </w:p>
  </w:footnote>
  <w:footnote w:id="22">
    <w:p w14:paraId="149B30B6" w14:textId="77777777" w:rsidR="00F52A18" w:rsidRDefault="00F52A18" w:rsidP="00194740">
      <w:pPr>
        <w:pStyle w:val="FootnoteText"/>
        <w:rPr>
          <w:lang w:val="en-AU"/>
        </w:rPr>
      </w:pPr>
      <w:r>
        <w:rPr>
          <w:rStyle w:val="FootnoteReference"/>
        </w:rPr>
        <w:footnoteRef/>
      </w:r>
      <w:r>
        <w:t xml:space="preserve"> </w:t>
      </w:r>
      <w:proofErr w:type="spellStart"/>
      <w:r>
        <w:rPr>
          <w:lang w:val="en-AU"/>
        </w:rPr>
        <w:t>Platzdasch</w:t>
      </w:r>
      <w:proofErr w:type="spellEnd"/>
      <w:r>
        <w:rPr>
          <w:lang w:val="en-AU"/>
        </w:rPr>
        <w:t>, Bernhard. (2011)</w:t>
      </w:r>
      <w:r>
        <w:rPr>
          <w:lang w:val="en-AU"/>
        </w:rPr>
        <w:t xml:space="preserve">, ;Religious Freedom in Indonesia: The Case of the </w:t>
      </w:r>
      <w:proofErr w:type="spellStart"/>
      <w:r>
        <w:rPr>
          <w:lang w:val="en-AU"/>
        </w:rPr>
        <w:t>Ahmadiyah</w:t>
      </w:r>
      <w:proofErr w:type="spellEnd"/>
      <w:r>
        <w:rPr>
          <w:lang w:val="en-AU"/>
        </w:rPr>
        <w:t xml:space="preserve">’, ISEAS Working Paper: </w:t>
      </w:r>
      <w:r>
        <w:rPr>
          <w:i/>
          <w:lang w:val="en-AU"/>
        </w:rPr>
        <w:t>Politics &amp; Security Series</w:t>
      </w:r>
      <w:r>
        <w:rPr>
          <w:lang w:val="en-AU"/>
        </w:rPr>
        <w:t>, 2:2011</w:t>
      </w:r>
    </w:p>
  </w:footnote>
  <w:footnote w:id="23">
    <w:p w14:paraId="20A86001" w14:textId="77777777" w:rsidR="00F52A18" w:rsidRDefault="00F52A18" w:rsidP="00194740">
      <w:pPr>
        <w:pStyle w:val="FootnoteText"/>
        <w:rPr>
          <w:i/>
          <w:lang w:val="en-AU"/>
        </w:rPr>
      </w:pPr>
      <w:r>
        <w:rPr>
          <w:rStyle w:val="FootnoteReference"/>
        </w:rPr>
        <w:footnoteRef/>
      </w:r>
      <w:r>
        <w:t xml:space="preserve"> </w:t>
      </w:r>
      <w:r>
        <w:rPr>
          <w:lang w:val="en-AU"/>
        </w:rPr>
        <w:t xml:space="preserve">Crouch, Melissa. (2009), ‘Indonesia, Militant Islam and </w:t>
      </w:r>
      <w:proofErr w:type="spellStart"/>
      <w:r>
        <w:rPr>
          <w:lang w:val="en-AU"/>
        </w:rPr>
        <w:t>Ahmadiyah</w:t>
      </w:r>
      <w:proofErr w:type="spellEnd"/>
      <w:r>
        <w:rPr>
          <w:lang w:val="en-AU"/>
        </w:rPr>
        <w:t xml:space="preserve">: origins and </w:t>
      </w:r>
      <w:r>
        <w:rPr>
          <w:lang w:val="en-AU"/>
        </w:rPr>
        <w:t xml:space="preserve">Implications;, </w:t>
      </w:r>
      <w:r>
        <w:rPr>
          <w:i/>
          <w:lang w:val="en-AU"/>
        </w:rPr>
        <w:t xml:space="preserve">Australian Research Council </w:t>
      </w:r>
      <w:proofErr w:type="spellStart"/>
      <w:r>
        <w:rPr>
          <w:i/>
          <w:lang w:val="en-AU"/>
        </w:rPr>
        <w:t>Federaiton</w:t>
      </w:r>
      <w:proofErr w:type="spellEnd"/>
      <w:r>
        <w:rPr>
          <w:i/>
          <w:lang w:val="en-AU"/>
        </w:rPr>
        <w:t xml:space="preserve"> Fellowship, Islam, </w:t>
      </w:r>
      <w:proofErr w:type="spellStart"/>
      <w:r>
        <w:rPr>
          <w:i/>
          <w:lang w:val="en-AU"/>
        </w:rPr>
        <w:t>Syari’ah</w:t>
      </w:r>
      <w:proofErr w:type="spellEnd"/>
      <w:r>
        <w:rPr>
          <w:i/>
          <w:lang w:val="en-AU"/>
        </w:rPr>
        <w:t xml:space="preserve"> and Governance, Background Paper Series’, [http://law.unimelb.edu.au/__data/assets/pdf_file/0007/1547791/crouch_final_website1.pdf]</w:t>
      </w:r>
    </w:p>
  </w:footnote>
  <w:footnote w:id="24">
    <w:p w14:paraId="7677CE71" w14:textId="77777777" w:rsidR="00F52A18" w:rsidRDefault="00F52A18" w:rsidP="00194740">
      <w:pPr>
        <w:pStyle w:val="FootnoteText"/>
        <w:rPr>
          <w:lang w:val="en-AU"/>
        </w:rPr>
      </w:pPr>
      <w:r>
        <w:rPr>
          <w:rStyle w:val="FootnoteReference"/>
        </w:rPr>
        <w:footnoteRef/>
      </w:r>
      <w:r>
        <w:t xml:space="preserve"> </w:t>
      </w:r>
      <w:proofErr w:type="spellStart"/>
      <w:r>
        <w:rPr>
          <w:lang w:val="en-AU"/>
        </w:rPr>
        <w:t>Burhani</w:t>
      </w:r>
      <w:proofErr w:type="spellEnd"/>
      <w:r>
        <w:rPr>
          <w:lang w:val="en-AU"/>
        </w:rPr>
        <w:t>, ‘Hating the Ahmadiyya’</w:t>
      </w:r>
    </w:p>
  </w:footnote>
  <w:footnote w:id="25">
    <w:p w14:paraId="6D37BB36" w14:textId="77777777" w:rsidR="00F52A18" w:rsidRDefault="00F52A18" w:rsidP="00194740">
      <w:pPr>
        <w:pStyle w:val="FootnoteText"/>
        <w:rPr>
          <w:lang w:val="en-AU"/>
        </w:rPr>
      </w:pPr>
      <w:r>
        <w:rPr>
          <w:rStyle w:val="FootnoteReference"/>
        </w:rPr>
        <w:footnoteRef/>
      </w:r>
      <w:r>
        <w:t xml:space="preserve"> http://www.smh.com.au/world/minority-ahmadiyah-muslim-group-in-indonesia-told-convert-or-be-expelled-20160126-gmecm9.html</w:t>
      </w:r>
    </w:p>
  </w:footnote>
  <w:footnote w:id="26">
    <w:p w14:paraId="0E15F1B1" w14:textId="77777777" w:rsidR="00F52A18" w:rsidRDefault="00F52A18" w:rsidP="00194740">
      <w:pPr>
        <w:pStyle w:val="FootnoteText"/>
        <w:rPr>
          <w:lang w:val="en-AU"/>
        </w:rPr>
      </w:pPr>
      <w:r>
        <w:rPr>
          <w:rStyle w:val="FootnoteReference"/>
        </w:rPr>
        <w:footnoteRef/>
      </w:r>
      <w:r>
        <w:t xml:space="preserve"> </w:t>
      </w:r>
      <w:proofErr w:type="spellStart"/>
      <w:r>
        <w:rPr>
          <w:lang w:val="en-AU"/>
        </w:rPr>
        <w:t>Burhani</w:t>
      </w:r>
      <w:proofErr w:type="spellEnd"/>
      <w:r>
        <w:rPr>
          <w:lang w:val="en-AU"/>
        </w:rPr>
        <w:t>, ‘Hating the Ahmadiyya’</w:t>
      </w:r>
    </w:p>
  </w:footnote>
  <w:footnote w:id="27">
    <w:p w14:paraId="7AE5DC81" w14:textId="77777777" w:rsidR="00F52A18" w:rsidRDefault="00F52A18" w:rsidP="00194740">
      <w:pPr>
        <w:pStyle w:val="FootnoteText"/>
        <w:rPr>
          <w:lang w:val="en-AU"/>
        </w:rPr>
      </w:pPr>
      <w:r>
        <w:rPr>
          <w:rStyle w:val="FootnoteReference"/>
        </w:rPr>
        <w:footnoteRef/>
      </w:r>
      <w:r>
        <w:t xml:space="preserve"> http://www.refworld.org/docid/56af1b384.html</w:t>
      </w:r>
    </w:p>
  </w:footnote>
  <w:footnote w:id="28">
    <w:p w14:paraId="5F492C75" w14:textId="77777777" w:rsidR="00F52A18" w:rsidRDefault="00F52A18" w:rsidP="00194740">
      <w:pPr>
        <w:pStyle w:val="FootnoteText"/>
        <w:rPr>
          <w:lang w:val="en-AU"/>
        </w:rPr>
      </w:pPr>
      <w:r>
        <w:rPr>
          <w:rStyle w:val="FootnoteReference"/>
        </w:rPr>
        <w:footnoteRef/>
      </w:r>
      <w:r>
        <w:t xml:space="preserve"> http://www.refworld.org/docid/56af1b384.html</w:t>
      </w:r>
    </w:p>
  </w:footnote>
  <w:footnote w:id="29">
    <w:p w14:paraId="153B7E6A" w14:textId="77777777" w:rsidR="00F52A18" w:rsidRPr="00096395" w:rsidRDefault="00F52A18" w:rsidP="00194740">
      <w:pPr>
        <w:pStyle w:val="FootnoteText"/>
      </w:pPr>
      <w:r>
        <w:rPr>
          <w:rStyle w:val="FootnoteReference"/>
        </w:rPr>
        <w:footnoteRef/>
      </w:r>
      <w:r>
        <w:t xml:space="preserve"> Annual reporting by </w:t>
      </w:r>
      <w:proofErr w:type="spellStart"/>
      <w:r>
        <w:t>Setara</w:t>
      </w:r>
      <w:proofErr w:type="spellEnd"/>
      <w:r>
        <w:t xml:space="preserve"> Institute on violence against religious minorities. In this tables only the reported number of incidents against Ahmadis are taken.</w:t>
      </w:r>
    </w:p>
  </w:footnote>
  <w:footnote w:id="30">
    <w:p w14:paraId="266D704A" w14:textId="77777777" w:rsidR="00F52A18" w:rsidRDefault="00F52A18" w:rsidP="00194740">
      <w:pPr>
        <w:pStyle w:val="FootnoteText"/>
      </w:pPr>
      <w:r>
        <w:rPr>
          <w:rStyle w:val="FootnoteReference"/>
        </w:rPr>
        <w:footnoteRef/>
      </w:r>
      <w:r>
        <w:t xml:space="preserve"> </w:t>
      </w:r>
      <w:proofErr w:type="spellStart"/>
      <w:r>
        <w:t>Setara</w:t>
      </w:r>
      <w:proofErr w:type="spellEnd"/>
      <w:r>
        <w:t xml:space="preserve"> Institute, </w:t>
      </w:r>
      <w:proofErr w:type="spellStart"/>
      <w:r>
        <w:t>Laporan</w:t>
      </w:r>
      <w:proofErr w:type="spellEnd"/>
      <w:r>
        <w:t xml:space="preserve"> </w:t>
      </w:r>
      <w:proofErr w:type="spellStart"/>
      <w:r>
        <w:t>Kondisi</w:t>
      </w:r>
      <w:proofErr w:type="spellEnd"/>
      <w:r>
        <w:t xml:space="preserve"> </w:t>
      </w:r>
      <w:proofErr w:type="spellStart"/>
      <w:r>
        <w:t>Kebebasan</w:t>
      </w:r>
      <w:proofErr w:type="spellEnd"/>
      <w:r>
        <w:t xml:space="preserve"> </w:t>
      </w:r>
      <w:proofErr w:type="spellStart"/>
      <w:r>
        <w:t>Beragama</w:t>
      </w:r>
      <w:proofErr w:type="spellEnd"/>
      <w:r>
        <w:t>/</w:t>
      </w:r>
      <w:proofErr w:type="spellStart"/>
      <w:r>
        <w:t>Berkeyakinan</w:t>
      </w:r>
      <w:proofErr w:type="spellEnd"/>
      <w:r>
        <w:t xml:space="preserve"> di Indonesia </w:t>
      </w:r>
      <w:proofErr w:type="spellStart"/>
      <w:r>
        <w:t>Tahun</w:t>
      </w:r>
      <w:proofErr w:type="spellEnd"/>
      <w:r>
        <w:t xml:space="preserve"> 2008, Jakarta: </w:t>
      </w:r>
      <w:proofErr w:type="spellStart"/>
      <w:r>
        <w:t>Pustaka</w:t>
      </w:r>
      <w:proofErr w:type="spellEnd"/>
      <w:r>
        <w:t xml:space="preserve"> Masyarakat </w:t>
      </w:r>
      <w:proofErr w:type="spellStart"/>
      <w:r>
        <w:t>Setara</w:t>
      </w:r>
      <w:proofErr w:type="spellEnd"/>
      <w:r>
        <w:t>, 2009.</w:t>
      </w:r>
    </w:p>
  </w:footnote>
  <w:footnote w:id="31">
    <w:p w14:paraId="4F79A12C" w14:textId="77777777" w:rsidR="00F52A18" w:rsidRDefault="00F52A18" w:rsidP="00194740">
      <w:pPr>
        <w:pStyle w:val="FootnoteText"/>
      </w:pPr>
      <w:r>
        <w:rPr>
          <w:rStyle w:val="FootnoteReference"/>
        </w:rPr>
        <w:footnoteRef/>
      </w:r>
      <w:r>
        <w:t xml:space="preserve"> </w:t>
      </w:r>
      <w:proofErr w:type="spellStart"/>
      <w:r>
        <w:t>Setara</w:t>
      </w:r>
      <w:proofErr w:type="spellEnd"/>
      <w:r>
        <w:t xml:space="preserve"> Institute, </w:t>
      </w:r>
      <w:proofErr w:type="spellStart"/>
      <w:r>
        <w:t>Politik</w:t>
      </w:r>
      <w:proofErr w:type="spellEnd"/>
      <w:r>
        <w:t xml:space="preserve"> </w:t>
      </w:r>
      <w:proofErr w:type="spellStart"/>
      <w:r>
        <w:t>Diskriminasi</w:t>
      </w:r>
      <w:proofErr w:type="spellEnd"/>
      <w:r>
        <w:t xml:space="preserve"> </w:t>
      </w:r>
      <w:proofErr w:type="spellStart"/>
      <w:r>
        <w:t>Rezim</w:t>
      </w:r>
      <w:proofErr w:type="spellEnd"/>
      <w:r>
        <w:t xml:space="preserve"> </w:t>
      </w:r>
      <w:proofErr w:type="spellStart"/>
      <w:r>
        <w:t>Susilo</w:t>
      </w:r>
      <w:proofErr w:type="spellEnd"/>
      <w:r>
        <w:t xml:space="preserve"> </w:t>
      </w:r>
      <w:proofErr w:type="spellStart"/>
      <w:r>
        <w:t>Bambang</w:t>
      </w:r>
      <w:proofErr w:type="spellEnd"/>
      <w:r>
        <w:t xml:space="preserve"> </w:t>
      </w:r>
      <w:proofErr w:type="spellStart"/>
      <w:r>
        <w:t>Yudhoyono</w:t>
      </w:r>
      <w:proofErr w:type="spellEnd"/>
      <w:r>
        <w:t xml:space="preserve">: </w:t>
      </w:r>
      <w:proofErr w:type="spellStart"/>
      <w:r>
        <w:t>Kondisi</w:t>
      </w:r>
      <w:proofErr w:type="spellEnd"/>
      <w:r>
        <w:t xml:space="preserve"> </w:t>
      </w:r>
      <w:proofErr w:type="spellStart"/>
      <w:r>
        <w:t>Kebebasan</w:t>
      </w:r>
      <w:proofErr w:type="spellEnd"/>
      <w:r>
        <w:t xml:space="preserve"> </w:t>
      </w:r>
      <w:proofErr w:type="spellStart"/>
      <w:r>
        <w:t>Beragama</w:t>
      </w:r>
      <w:proofErr w:type="spellEnd"/>
      <w:r>
        <w:t>/</w:t>
      </w:r>
      <w:proofErr w:type="spellStart"/>
      <w:r>
        <w:t>Berkeyakinan</w:t>
      </w:r>
      <w:proofErr w:type="spellEnd"/>
      <w:r>
        <w:t xml:space="preserve"> di Indonesia 2011, Jakarta: </w:t>
      </w:r>
      <w:proofErr w:type="spellStart"/>
      <w:r>
        <w:t>Pustaka</w:t>
      </w:r>
      <w:proofErr w:type="spellEnd"/>
      <w:r>
        <w:t xml:space="preserve"> Masyarakat </w:t>
      </w:r>
      <w:proofErr w:type="spellStart"/>
      <w:r>
        <w:t>Setara</w:t>
      </w:r>
      <w:proofErr w:type="spellEnd"/>
      <w:r>
        <w:t>, 2012, p. 105</w:t>
      </w:r>
    </w:p>
  </w:footnote>
  <w:footnote w:id="32">
    <w:p w14:paraId="0828EA1B" w14:textId="77777777" w:rsidR="00F52A18" w:rsidRPr="000E5A69" w:rsidRDefault="00F52A18" w:rsidP="00194740">
      <w:pPr>
        <w:pStyle w:val="FootnoteText"/>
      </w:pPr>
      <w:r>
        <w:rPr>
          <w:rStyle w:val="FootnoteReference"/>
        </w:rPr>
        <w:footnoteRef/>
      </w:r>
      <w:r>
        <w:t xml:space="preserve"> Annual reporting by </w:t>
      </w:r>
      <w:proofErr w:type="spellStart"/>
      <w:r>
        <w:t>Setara</w:t>
      </w:r>
      <w:proofErr w:type="spellEnd"/>
      <w:r>
        <w:t xml:space="preserve"> Institute on violence against religious minorities.</w:t>
      </w:r>
    </w:p>
  </w:footnote>
  <w:footnote w:id="33">
    <w:p w14:paraId="24A9CE79" w14:textId="77777777" w:rsidR="00F52A18" w:rsidRDefault="00F52A18" w:rsidP="00194740">
      <w:pPr>
        <w:pStyle w:val="FootnoteText"/>
      </w:pPr>
      <w:r>
        <w:rPr>
          <w:rStyle w:val="FootnoteReference"/>
        </w:rPr>
        <w:footnoteRef/>
      </w:r>
      <w:r>
        <w:t xml:space="preserve"> ‘</w:t>
      </w:r>
      <w:proofErr w:type="spellStart"/>
      <w:r>
        <w:t>Pengrusakan</w:t>
      </w:r>
      <w:proofErr w:type="spellEnd"/>
      <w:r>
        <w:t xml:space="preserve"> Masjid </w:t>
      </w:r>
      <w:proofErr w:type="spellStart"/>
      <w:r>
        <w:t>Ahmadiyah</w:t>
      </w:r>
      <w:proofErr w:type="spellEnd"/>
      <w:r>
        <w:t xml:space="preserve"> di Kendal </w:t>
      </w:r>
      <w:proofErr w:type="spellStart"/>
      <w:r>
        <w:t>karena</w:t>
      </w:r>
      <w:proofErr w:type="spellEnd"/>
      <w:r>
        <w:t xml:space="preserve"> ‘</w:t>
      </w:r>
      <w:proofErr w:type="spellStart"/>
      <w:r>
        <w:t>Tidak</w:t>
      </w:r>
      <w:proofErr w:type="spellEnd"/>
      <w:r>
        <w:t xml:space="preserve"> </w:t>
      </w:r>
      <w:proofErr w:type="spellStart"/>
      <w:r>
        <w:t>ada</w:t>
      </w:r>
      <w:proofErr w:type="spellEnd"/>
      <w:r>
        <w:t xml:space="preserve"> </w:t>
      </w:r>
      <w:proofErr w:type="spellStart"/>
      <w:r>
        <w:t>Niat</w:t>
      </w:r>
      <w:proofErr w:type="spellEnd"/>
      <w:r>
        <w:t xml:space="preserve"> </w:t>
      </w:r>
      <w:proofErr w:type="spellStart"/>
      <w:r>
        <w:t>Baik</w:t>
      </w:r>
      <w:proofErr w:type="spellEnd"/>
      <w:r>
        <w:t xml:space="preserve"> </w:t>
      </w:r>
      <w:proofErr w:type="spellStart"/>
      <w:r>
        <w:t>Pusat</w:t>
      </w:r>
      <w:proofErr w:type="spellEnd"/>
      <w:r>
        <w:t>’, BBC Indonesia, 25 Mei 2016, (</w:t>
      </w:r>
      <w:hyperlink r:id="rId3" w:history="1">
        <w:r>
          <w:rPr>
            <w:rStyle w:val="Hyperlink"/>
          </w:rPr>
          <w:t>http://www.bbc.com/indonesia/berita_indonesia/2016/05/160525_indonesia_ahmadiyah_kendal</w:t>
        </w:r>
      </w:hyperlink>
      <w:r>
        <w:t>), last accessed: 25 July 2016</w:t>
      </w:r>
    </w:p>
  </w:footnote>
  <w:footnote w:id="34">
    <w:p w14:paraId="2162C86F" w14:textId="77777777" w:rsidR="00F52A18" w:rsidRDefault="00F52A18" w:rsidP="00194740">
      <w:pPr>
        <w:pStyle w:val="FootnoteText"/>
      </w:pPr>
      <w:r>
        <w:rPr>
          <w:rStyle w:val="FootnoteReference"/>
        </w:rPr>
        <w:footnoteRef/>
      </w:r>
      <w:r>
        <w:t xml:space="preserve"> ‘Ahmadi Mosque Attack Violates Religious Freedom: </w:t>
      </w:r>
      <w:proofErr w:type="spellStart"/>
      <w:r>
        <w:t>Setara</w:t>
      </w:r>
      <w:proofErr w:type="spellEnd"/>
      <w:r>
        <w:t>’, The Jakarta Globe, (</w:t>
      </w:r>
      <w:hyperlink r:id="rId4" w:history="1">
        <w:r>
          <w:rPr>
            <w:rStyle w:val="Hyperlink"/>
          </w:rPr>
          <w:t>http://jakartaglobe.beritasatu.com/news/setara-institute-slams-central-java-ahmadi-mosque-attack/</w:t>
        </w:r>
      </w:hyperlink>
      <w:r>
        <w:t>), last accessed: 25 July 2016</w:t>
      </w:r>
    </w:p>
  </w:footnote>
  <w:footnote w:id="35">
    <w:p w14:paraId="65B000F2" w14:textId="77777777" w:rsidR="00F52A18" w:rsidRDefault="00F52A18" w:rsidP="00194740">
      <w:pPr>
        <w:pStyle w:val="FootnoteText"/>
      </w:pPr>
      <w:r>
        <w:rPr>
          <w:rStyle w:val="FootnoteReference"/>
        </w:rPr>
        <w:footnoteRef/>
      </w:r>
      <w:r>
        <w:t xml:space="preserve"> ‘Criticism of Ahmadi Mosque Attack in C. Java Grows’, </w:t>
      </w:r>
      <w:proofErr w:type="spellStart"/>
      <w:r>
        <w:t>Suherdjoko</w:t>
      </w:r>
      <w:proofErr w:type="spellEnd"/>
      <w:r>
        <w:t>, The Jakarta Post, 24 May 2016, (</w:t>
      </w:r>
      <w:hyperlink r:id="rId5" w:history="1">
        <w:r>
          <w:rPr>
            <w:rStyle w:val="Hyperlink"/>
          </w:rPr>
          <w:t>http://www.thejakartapost.com/news/2016/05/24/criticism-of-ahmadi-mosque-attack-in-c-java-grows.html</w:t>
        </w:r>
      </w:hyperlink>
      <w:r>
        <w:t>), last accessed: 25 July 2016</w:t>
      </w:r>
    </w:p>
  </w:footnote>
  <w:footnote w:id="36">
    <w:p w14:paraId="2C212DB7" w14:textId="77777777" w:rsidR="00F52A18" w:rsidRDefault="00F52A18" w:rsidP="00194740">
      <w:pPr>
        <w:pStyle w:val="FootnoteText"/>
      </w:pPr>
      <w:r>
        <w:rPr>
          <w:rStyle w:val="FootnoteReference"/>
        </w:rPr>
        <w:footnoteRef/>
      </w:r>
      <w:r>
        <w:t xml:space="preserve"> Ibid</w:t>
      </w:r>
    </w:p>
  </w:footnote>
  <w:footnote w:id="37">
    <w:p w14:paraId="0FE38B3E" w14:textId="77777777" w:rsidR="00F52A18" w:rsidRDefault="00F52A18" w:rsidP="00194740">
      <w:pPr>
        <w:pStyle w:val="FootnoteText"/>
      </w:pPr>
      <w:r>
        <w:rPr>
          <w:rStyle w:val="FootnoteReference"/>
        </w:rPr>
        <w:footnoteRef/>
      </w:r>
      <w:r>
        <w:t xml:space="preserve"> Ibid</w:t>
      </w:r>
    </w:p>
  </w:footnote>
  <w:footnote w:id="38">
    <w:p w14:paraId="2761811F" w14:textId="77777777" w:rsidR="00F52A18" w:rsidRDefault="00F52A18" w:rsidP="00194740">
      <w:pPr>
        <w:pStyle w:val="FootnoteText"/>
      </w:pPr>
      <w:r>
        <w:rPr>
          <w:rStyle w:val="FootnoteReference"/>
        </w:rPr>
        <w:footnoteRef/>
      </w:r>
      <w:r>
        <w:t xml:space="preserve"> ‘</w:t>
      </w:r>
      <w:proofErr w:type="spellStart"/>
      <w:r>
        <w:t>Ini</w:t>
      </w:r>
      <w:proofErr w:type="spellEnd"/>
      <w:r>
        <w:t xml:space="preserve"> </w:t>
      </w:r>
      <w:proofErr w:type="spellStart"/>
      <w:r>
        <w:t>Kronologi</w:t>
      </w:r>
      <w:proofErr w:type="spellEnd"/>
      <w:r>
        <w:t xml:space="preserve"> </w:t>
      </w:r>
      <w:proofErr w:type="spellStart"/>
      <w:r>
        <w:t>Pengusiran</w:t>
      </w:r>
      <w:proofErr w:type="spellEnd"/>
      <w:r>
        <w:t xml:space="preserve"> </w:t>
      </w:r>
      <w:proofErr w:type="spellStart"/>
      <w:r>
        <w:t>Jemaat</w:t>
      </w:r>
      <w:proofErr w:type="spellEnd"/>
      <w:r>
        <w:t xml:space="preserve"> </w:t>
      </w:r>
      <w:proofErr w:type="spellStart"/>
      <w:r>
        <w:t>Ahamdiyah</w:t>
      </w:r>
      <w:proofErr w:type="spellEnd"/>
      <w:r>
        <w:t xml:space="preserve"> di Bangka’, TEMPO.CO Nasional, 09 February 2016, (</w:t>
      </w:r>
      <w:hyperlink r:id="rId6" w:history="1">
        <w:r>
          <w:rPr>
            <w:rStyle w:val="Hyperlink"/>
          </w:rPr>
          <w:t>https://nasional.tempo.co/read/news/2016/02/09/058743223/ini-kronologi-pengusiran-jemaat-ahmadiyah-di-bangka</w:t>
        </w:r>
      </w:hyperlink>
      <w:r>
        <w:t>), last accessed: 17 June 2016</w:t>
      </w:r>
    </w:p>
  </w:footnote>
  <w:footnote w:id="39">
    <w:p w14:paraId="62A3538F" w14:textId="77777777" w:rsidR="00F52A18" w:rsidRDefault="00F52A18" w:rsidP="00194740">
      <w:pPr>
        <w:pStyle w:val="FootnoteText"/>
      </w:pPr>
      <w:r>
        <w:rPr>
          <w:rStyle w:val="FootnoteReference"/>
        </w:rPr>
        <w:footnoteRef/>
      </w:r>
      <w:r>
        <w:t xml:space="preserve"> ‘Indonesia: </w:t>
      </w:r>
      <w:proofErr w:type="spellStart"/>
      <w:r>
        <w:t>Ahmadiyah</w:t>
      </w:r>
      <w:proofErr w:type="spellEnd"/>
      <w:r>
        <w:t xml:space="preserve"> Community Threatened – Religious Minority on Bangka Island Ordered to ‘Return to Islam’ or be Expelled’, Human Rights Watch, 16 January 2016, (</w:t>
      </w:r>
      <w:hyperlink r:id="rId7" w:history="1">
        <w:r>
          <w:rPr>
            <w:rStyle w:val="Hyperlink"/>
          </w:rPr>
          <w:t>https://www.hrw.org/news/2016/01/16/indonesia-ahmadiyah-community-threatened</w:t>
        </w:r>
      </w:hyperlink>
      <w:r>
        <w:t>), last accessed: 23 June 2016</w:t>
      </w:r>
    </w:p>
  </w:footnote>
  <w:footnote w:id="40">
    <w:p w14:paraId="2EC971DD" w14:textId="77777777" w:rsidR="00F52A18" w:rsidRDefault="00F52A18" w:rsidP="00194740">
      <w:pPr>
        <w:pStyle w:val="FootnoteText"/>
      </w:pPr>
      <w:r>
        <w:rPr>
          <w:rStyle w:val="FootnoteReference"/>
        </w:rPr>
        <w:footnoteRef/>
      </w:r>
      <w:r>
        <w:t xml:space="preserve">  ‘(1) Every person shall be free to choose and to practice the religion of his/her choice [...]</w:t>
      </w:r>
    </w:p>
    <w:p w14:paraId="0121E7C2" w14:textId="77777777" w:rsidR="00F52A18" w:rsidRDefault="00F52A18" w:rsidP="00194740">
      <w:pPr>
        <w:pStyle w:val="FootnoteText"/>
      </w:pPr>
      <w:r>
        <w:t xml:space="preserve">      (2) Every person shall have the right to the freedom to believe his/her faith (</w:t>
      </w:r>
      <w:proofErr w:type="spellStart"/>
      <w:r>
        <w:rPr>
          <w:i/>
        </w:rPr>
        <w:t>kepercayaan</w:t>
      </w:r>
      <w:proofErr w:type="spellEnd"/>
      <w:r>
        <w:t xml:space="preserve">), and to express his/her views and thoughts, </w:t>
      </w:r>
    </w:p>
    <w:p w14:paraId="0CC4A0FF" w14:textId="77777777" w:rsidR="00F52A18" w:rsidRDefault="00F52A18" w:rsidP="00194740">
      <w:pPr>
        <w:pStyle w:val="FootnoteText"/>
      </w:pPr>
      <w:r>
        <w:t xml:space="preserve">            in accordance with his/her conscience.”</w:t>
      </w:r>
    </w:p>
  </w:footnote>
  <w:footnote w:id="41">
    <w:p w14:paraId="6E610DDC" w14:textId="77777777" w:rsidR="00F52A18" w:rsidRDefault="00F52A18" w:rsidP="00194740">
      <w:pPr>
        <w:pStyle w:val="FootnoteText"/>
      </w:pPr>
      <w:r>
        <w:rPr>
          <w:rStyle w:val="FootnoteReference"/>
        </w:rPr>
        <w:footnoteRef/>
      </w:r>
      <w:r>
        <w:t xml:space="preserve"> ‘(1) Everyone has the right to freedom to choose his religion and to worship according to the teaching of his religion and beliefs;</w:t>
      </w:r>
    </w:p>
    <w:p w14:paraId="1C5D913F" w14:textId="77777777" w:rsidR="00F52A18" w:rsidRDefault="00F52A18" w:rsidP="00194740">
      <w:pPr>
        <w:pStyle w:val="FootnoteText"/>
      </w:pPr>
      <w:r>
        <w:t xml:space="preserve">    (2) [...] everyone [has] the freedom to choose and practice his religion and to worship according to his religion and beliefs”. Translation is available at (http://www.asiapacificforum.net/members/full- members/</w:t>
      </w:r>
      <w:proofErr w:type="spellStart"/>
      <w:r>
        <w:t>indonesia</w:t>
      </w:r>
      <w:proofErr w:type="spellEnd"/>
      <w:r>
        <w:t>/downloads/legal-framework/indonesiaact.pdf), last accessed: 23 June 2016.</w:t>
      </w:r>
    </w:p>
  </w:footnote>
  <w:footnote w:id="42">
    <w:p w14:paraId="4C99D15D" w14:textId="77777777" w:rsidR="00F52A18" w:rsidRDefault="00F52A18" w:rsidP="00194740">
      <w:pPr>
        <w:pStyle w:val="FootnoteText"/>
      </w:pPr>
      <w:r>
        <w:rPr>
          <w:rStyle w:val="FootnoteReference"/>
        </w:rPr>
        <w:footnoteRef/>
      </w:r>
      <w:r>
        <w:t xml:space="preserve"> Article 5(d) (vii) of the International Convention on the Eradication of any Form of Racial Discrimination</w:t>
      </w:r>
    </w:p>
  </w:footnote>
  <w:footnote w:id="43">
    <w:p w14:paraId="4401AE75" w14:textId="77777777" w:rsidR="00F52A18" w:rsidRDefault="00F52A18" w:rsidP="00194740">
      <w:pPr>
        <w:pStyle w:val="FootnoteText"/>
      </w:pPr>
      <w:r>
        <w:rPr>
          <w:rStyle w:val="FootnoteReference"/>
        </w:rPr>
        <w:footnoteRef/>
      </w:r>
      <w:r>
        <w:t xml:space="preserve"> Ibid</w:t>
      </w:r>
    </w:p>
  </w:footnote>
  <w:footnote w:id="44">
    <w:p w14:paraId="0F8E97E6" w14:textId="77777777" w:rsidR="00F52A18" w:rsidRDefault="00F52A18" w:rsidP="00194740">
      <w:pPr>
        <w:pStyle w:val="FootnoteText"/>
      </w:pPr>
      <w:r>
        <w:rPr>
          <w:rStyle w:val="FootnoteReference"/>
        </w:rPr>
        <w:footnoteRef/>
      </w:r>
      <w:r>
        <w:t xml:space="preserve"> Ibid</w:t>
      </w:r>
    </w:p>
  </w:footnote>
  <w:footnote w:id="45">
    <w:p w14:paraId="6C65FA6A" w14:textId="77777777" w:rsidR="00F52A18" w:rsidRDefault="00F52A18" w:rsidP="00194740">
      <w:pPr>
        <w:pStyle w:val="FootnoteText"/>
      </w:pPr>
      <w:r>
        <w:rPr>
          <w:rStyle w:val="FootnoteReference"/>
        </w:rPr>
        <w:footnoteRef/>
      </w:r>
      <w:r>
        <w:t xml:space="preserve"> The European Court of Human Rights (ECtHR) defines ‘necessary in a democratic society’ as any ‘formality’, ‘condition’, ‘restriction’ or ‘penalty’ that imposed under this ground must be proportionate to the legitimate aim pursued. See </w:t>
      </w:r>
      <w:proofErr w:type="spellStart"/>
      <w:r>
        <w:rPr>
          <w:i/>
        </w:rPr>
        <w:t>Handysive</w:t>
      </w:r>
      <w:proofErr w:type="spellEnd"/>
      <w:r>
        <w:t xml:space="preserve"> v UK.</w:t>
      </w:r>
    </w:p>
  </w:footnote>
  <w:footnote w:id="46">
    <w:p w14:paraId="1F44A6A0" w14:textId="77777777" w:rsidR="00F52A18" w:rsidRDefault="00F52A18" w:rsidP="00194740">
      <w:pPr>
        <w:pStyle w:val="FootnoteText"/>
      </w:pPr>
      <w:r>
        <w:rPr>
          <w:rStyle w:val="FootnoteReference"/>
        </w:rPr>
        <w:footnoteRef/>
      </w:r>
      <w:r>
        <w:t xml:space="preserve"> A. Donald and E. Howard, ‘The Right to Freedom of Religion or Belief and its Intersection with Other Rights’, ibid, p. 2</w:t>
      </w:r>
    </w:p>
  </w:footnote>
  <w:footnote w:id="47">
    <w:p w14:paraId="27B9142E" w14:textId="77777777" w:rsidR="00F52A18" w:rsidRDefault="00F52A18" w:rsidP="00194740">
      <w:pPr>
        <w:pStyle w:val="FootnoteText"/>
      </w:pPr>
      <w:r>
        <w:rPr>
          <w:rStyle w:val="FootnoteReference"/>
        </w:rPr>
        <w:footnoteRef/>
      </w:r>
      <w:r>
        <w:t xml:space="preserve"> M. </w:t>
      </w:r>
      <w:proofErr w:type="spellStart"/>
      <w:r>
        <w:t>Seo</w:t>
      </w:r>
      <w:proofErr w:type="spellEnd"/>
      <w:r>
        <w:t xml:space="preserve">, ‘Defining ‘religious’ in Indonesia: toward neither an Islamic nor a secular state’, </w:t>
      </w:r>
      <w:r>
        <w:rPr>
          <w:i/>
        </w:rPr>
        <w:t>Citizenship Studies</w:t>
      </w:r>
      <w:r>
        <w:t>, 16:8, p. 1045</w:t>
      </w:r>
    </w:p>
  </w:footnote>
  <w:footnote w:id="48">
    <w:p w14:paraId="0247EA34" w14:textId="77777777" w:rsidR="00F52A18" w:rsidRDefault="00F52A18" w:rsidP="00194740">
      <w:pPr>
        <w:pStyle w:val="FootnoteText"/>
      </w:pPr>
      <w:r>
        <w:rPr>
          <w:rStyle w:val="FootnoteReference"/>
        </w:rPr>
        <w:footnoteRef/>
      </w:r>
      <w:r>
        <w:t xml:space="preserve"> Ibid</w:t>
      </w:r>
    </w:p>
  </w:footnote>
  <w:footnote w:id="49">
    <w:p w14:paraId="1BF076EE" w14:textId="77777777" w:rsidR="00F52A18" w:rsidRDefault="00F52A18" w:rsidP="00194740">
      <w:pPr>
        <w:pStyle w:val="FootnoteText"/>
      </w:pPr>
      <w:r>
        <w:rPr>
          <w:rStyle w:val="FootnoteReference"/>
        </w:rPr>
        <w:footnoteRef/>
      </w:r>
      <w:r>
        <w:t xml:space="preserve"> Article 156a of the Indonesian Criminal Code, see also Human Rights Watch Report, ‘In Religion’s Name’, p. 28-29</w:t>
      </w:r>
    </w:p>
  </w:footnote>
  <w:footnote w:id="50">
    <w:p w14:paraId="730F381D" w14:textId="77777777" w:rsidR="00F52A18" w:rsidRPr="00515EF6" w:rsidRDefault="00F52A18" w:rsidP="00194740">
      <w:pPr>
        <w:pStyle w:val="FootnoteText"/>
      </w:pPr>
      <w:r>
        <w:rPr>
          <w:rStyle w:val="FootnoteReference"/>
        </w:rPr>
        <w:footnoteRef/>
      </w:r>
      <w:r>
        <w:t xml:space="preserve"> </w:t>
      </w:r>
      <w:r w:rsidRPr="00515EF6">
        <w:t>See also M. Crouch, ‘</w:t>
      </w:r>
      <w:proofErr w:type="spellStart"/>
      <w:r w:rsidRPr="00515EF6">
        <w:t>Ahmadiyah</w:t>
      </w:r>
      <w:proofErr w:type="spellEnd"/>
      <w:r w:rsidRPr="00515EF6">
        <w:t xml:space="preserve"> in Indonesia: A History of Religious Tolerance Under Threat?’, Alternative Law Journal 36, 1 (2011), p. 56</w:t>
      </w:r>
    </w:p>
  </w:footnote>
  <w:footnote w:id="51">
    <w:p w14:paraId="29E8B576" w14:textId="77777777" w:rsidR="00F52A18" w:rsidRDefault="00F52A18" w:rsidP="00194740">
      <w:pPr>
        <w:pStyle w:val="FootnoteText"/>
      </w:pPr>
      <w:r>
        <w:rPr>
          <w:rStyle w:val="FootnoteReference"/>
        </w:rPr>
        <w:footnoteRef/>
      </w:r>
      <w:r>
        <w:t xml:space="preserve"> Human Rights Watch Report, ‘In Religion’s Name: Abuses against Religious Minorities in Indonesia’, Human Rights Watch 2013, p. 36</w:t>
      </w:r>
    </w:p>
  </w:footnote>
  <w:footnote w:id="52">
    <w:p w14:paraId="5F862C55" w14:textId="77777777" w:rsidR="00F52A18" w:rsidRDefault="00F52A18" w:rsidP="00194740">
      <w:pPr>
        <w:pStyle w:val="FootnoteText"/>
      </w:pPr>
      <w:r>
        <w:rPr>
          <w:rStyle w:val="FootnoteReference"/>
        </w:rPr>
        <w:footnoteRef/>
      </w:r>
      <w:r>
        <w:t xml:space="preserve"> Article 2 of the 2008 Joint Ministerial Decree, unofficial translation, see Human Rights Watch Report, ‘In Religion’s Name: Abuses Against Religious Minorities in Indonesia,’ ibid, p. 37</w:t>
      </w:r>
    </w:p>
  </w:footnote>
  <w:footnote w:id="53">
    <w:p w14:paraId="395FA91F" w14:textId="77777777" w:rsidR="00F52A18" w:rsidRDefault="00F52A18" w:rsidP="00194740">
      <w:pPr>
        <w:pStyle w:val="FootnoteText"/>
      </w:pPr>
      <w:r>
        <w:rPr>
          <w:rStyle w:val="FootnoteReference"/>
        </w:rPr>
        <w:footnoteRef/>
      </w:r>
      <w:r>
        <w:t xml:space="preserve"> Article 3 of the 2008 Joint Ministerial Decree</w:t>
      </w:r>
    </w:p>
  </w:footnote>
  <w:footnote w:id="54">
    <w:p w14:paraId="25E7E7D9" w14:textId="77777777" w:rsidR="00F52A18" w:rsidRDefault="00F52A18" w:rsidP="00194740">
      <w:pPr>
        <w:pStyle w:val="FootnoteText"/>
      </w:pPr>
      <w:r>
        <w:rPr>
          <w:rStyle w:val="FootnoteReference"/>
        </w:rPr>
        <w:footnoteRef/>
      </w:r>
      <w:r>
        <w:t xml:space="preserve"> Article 6 of the 2008 </w:t>
      </w:r>
      <w:r>
        <w:t>Joint  Ministerial Decree</w:t>
      </w:r>
    </w:p>
  </w:footnote>
  <w:footnote w:id="55">
    <w:p w14:paraId="4CB644A7" w14:textId="77777777" w:rsidR="00F52A18" w:rsidRDefault="00F52A18" w:rsidP="00194740">
      <w:pPr>
        <w:pStyle w:val="FootnoteText"/>
      </w:pPr>
      <w:r>
        <w:rPr>
          <w:rStyle w:val="FootnoteReference"/>
        </w:rPr>
        <w:footnoteRef/>
      </w:r>
      <w:r>
        <w:t xml:space="preserve"> M. Crouch, ‘Judicial Review and Religious Freedom: The Case of Indonesian Ahmadis’, </w:t>
      </w:r>
      <w:r>
        <w:rPr>
          <w:i/>
        </w:rPr>
        <w:t xml:space="preserve">Sydney L. Rev., </w:t>
      </w:r>
      <w:r>
        <w:t>34 (2012), p. 558</w:t>
      </w:r>
    </w:p>
  </w:footnote>
  <w:footnote w:id="56">
    <w:p w14:paraId="077485D3" w14:textId="77777777" w:rsidR="00F52A18" w:rsidRDefault="00F52A18" w:rsidP="00194740">
      <w:pPr>
        <w:pStyle w:val="FootnoteText"/>
      </w:pPr>
      <w:r>
        <w:rPr>
          <w:rStyle w:val="FootnoteReference"/>
        </w:rPr>
        <w:footnoteRef/>
      </w:r>
      <w:r>
        <w:t xml:space="preserve"> Ibid, p. 556</w:t>
      </w:r>
    </w:p>
  </w:footnote>
  <w:footnote w:id="57">
    <w:p w14:paraId="1C3EAA40" w14:textId="77777777" w:rsidR="00F52A18" w:rsidRDefault="00F52A18" w:rsidP="00194740">
      <w:pPr>
        <w:pStyle w:val="FootnoteText"/>
      </w:pPr>
      <w:r>
        <w:rPr>
          <w:rStyle w:val="FootnoteReference"/>
        </w:rPr>
        <w:footnoteRef/>
      </w:r>
      <w:r>
        <w:t xml:space="preserve"> Human Rights Watch Report, ‘In Religion’s Name: Abuses against Religious Minorities in Indonesia’, ibid, p. 37</w:t>
      </w:r>
    </w:p>
  </w:footnote>
  <w:footnote w:id="58">
    <w:p w14:paraId="2B160E60" w14:textId="77777777" w:rsidR="00F52A18" w:rsidRDefault="00F52A18" w:rsidP="00194740">
      <w:pPr>
        <w:pStyle w:val="FootnoteText"/>
      </w:pPr>
      <w:r>
        <w:rPr>
          <w:rStyle w:val="FootnoteReference"/>
        </w:rPr>
        <w:footnoteRef/>
      </w:r>
      <w:r>
        <w:t xml:space="preserve"> M. B. Hooker, ‘Indonesian Islam: Social change through contemporary fatwa’, (Honolulu: University of </w:t>
      </w:r>
      <w:proofErr w:type="spellStart"/>
      <w:r>
        <w:t>Hawai’I</w:t>
      </w:r>
      <w:proofErr w:type="spellEnd"/>
      <w:r>
        <w:t xml:space="preserve"> Press, 2003), see also M. </w:t>
      </w:r>
      <w:proofErr w:type="spellStart"/>
      <w:r>
        <w:t>Sirry</w:t>
      </w:r>
      <w:proofErr w:type="spellEnd"/>
      <w:r>
        <w:t xml:space="preserve">, ‘Fatwas and Their Controversy: The case of the Council of Indonesian Ulama (MUI)’, </w:t>
      </w:r>
      <w:r>
        <w:rPr>
          <w:i/>
        </w:rPr>
        <w:t>Journal of Southeast Asian Studies</w:t>
      </w:r>
      <w:r>
        <w:t>, 44, p. 101</w:t>
      </w:r>
    </w:p>
  </w:footnote>
  <w:footnote w:id="59">
    <w:p w14:paraId="08324A67" w14:textId="77777777" w:rsidR="00F52A18" w:rsidRDefault="00F52A18" w:rsidP="00194740">
      <w:pPr>
        <w:pStyle w:val="FootnoteText"/>
      </w:pPr>
      <w:r>
        <w:rPr>
          <w:rStyle w:val="FootnoteReference"/>
        </w:rPr>
        <w:footnoteRef/>
      </w:r>
      <w:r>
        <w:t xml:space="preserve"> D. J. Porter, ‘Managing politics and Islam in Indonesia’, (London: </w:t>
      </w:r>
      <w:proofErr w:type="spellStart"/>
      <w:r>
        <w:t>RoutledgeCurzon</w:t>
      </w:r>
      <w:proofErr w:type="spellEnd"/>
      <w:r>
        <w:t xml:space="preserve">, 2002), p. 76, see also M. </w:t>
      </w:r>
      <w:proofErr w:type="spellStart"/>
      <w:r>
        <w:t>Sirry</w:t>
      </w:r>
      <w:proofErr w:type="spellEnd"/>
      <w:r>
        <w:t>, ‘Fatwas and Their Controversy: The case of the Council of Indonesian Ulama (MUI)’, ibid, p. 102</w:t>
      </w:r>
    </w:p>
  </w:footnote>
  <w:footnote w:id="60">
    <w:p w14:paraId="0C5CF683" w14:textId="77777777" w:rsidR="00F52A18" w:rsidRDefault="00F52A18" w:rsidP="00194740">
      <w:pPr>
        <w:pStyle w:val="FootnoteText"/>
      </w:pPr>
      <w:r>
        <w:rPr>
          <w:rStyle w:val="FootnoteReference"/>
        </w:rPr>
        <w:footnoteRef/>
      </w:r>
      <w:r>
        <w:t xml:space="preserve"> P. Gillespie, ‘Current in Indonesia Islam: </w:t>
      </w:r>
      <w:proofErr w:type="spellStart"/>
      <w:r>
        <w:t>Analysing</w:t>
      </w:r>
      <w:proofErr w:type="spellEnd"/>
      <w:r>
        <w:t xml:space="preserve"> the 2000 Council of Indonesian Ulama Fatwa No. 7’, </w:t>
      </w:r>
      <w:r>
        <w:rPr>
          <w:i/>
        </w:rPr>
        <w:t>Journal of Islamic Studies</w:t>
      </w:r>
      <w:r>
        <w:t>, Vo. 18, No. 2, p. 202-240</w:t>
      </w:r>
    </w:p>
  </w:footnote>
  <w:footnote w:id="61">
    <w:p w14:paraId="6569AFB1" w14:textId="77777777" w:rsidR="00F52A18" w:rsidRDefault="00F52A18" w:rsidP="00194740">
      <w:pPr>
        <w:pStyle w:val="FootnoteText"/>
      </w:pPr>
      <w:r>
        <w:rPr>
          <w:rStyle w:val="FootnoteReference"/>
        </w:rPr>
        <w:footnoteRef/>
      </w:r>
      <w:r>
        <w:t xml:space="preserve"> M. </w:t>
      </w:r>
      <w:proofErr w:type="spellStart"/>
      <w:r>
        <w:t>Sirry</w:t>
      </w:r>
      <w:proofErr w:type="spellEnd"/>
      <w:r>
        <w:t>, ‘Fatwas and Their Controversy: The case of the Council of Indonesian Ulama (MUI)’, ibid, p. 103</w:t>
      </w:r>
    </w:p>
  </w:footnote>
  <w:footnote w:id="62">
    <w:p w14:paraId="22860AAB" w14:textId="77777777" w:rsidR="00F52A18" w:rsidRDefault="00F52A18" w:rsidP="00194740">
      <w:pPr>
        <w:pStyle w:val="FootnoteText"/>
      </w:pPr>
      <w:r>
        <w:rPr>
          <w:rStyle w:val="FootnoteReference"/>
        </w:rPr>
        <w:footnoteRef/>
      </w:r>
      <w:r>
        <w:t xml:space="preserve"> </w:t>
      </w:r>
      <w:r>
        <w:rPr>
          <w:i/>
        </w:rPr>
        <w:t xml:space="preserve">Fatwa </w:t>
      </w:r>
      <w:proofErr w:type="spellStart"/>
      <w:r>
        <w:rPr>
          <w:i/>
        </w:rPr>
        <w:t>Majelis</w:t>
      </w:r>
      <w:proofErr w:type="spellEnd"/>
      <w:r>
        <w:rPr>
          <w:i/>
        </w:rPr>
        <w:t xml:space="preserve"> Ulama Indonesia No. 5 </w:t>
      </w:r>
      <w:proofErr w:type="spellStart"/>
      <w:r>
        <w:rPr>
          <w:i/>
        </w:rPr>
        <w:t>Tahun</w:t>
      </w:r>
      <w:proofErr w:type="spellEnd"/>
      <w:r>
        <w:rPr>
          <w:i/>
        </w:rPr>
        <w:t xml:space="preserve"> 1980 </w:t>
      </w:r>
      <w:proofErr w:type="spellStart"/>
      <w:r>
        <w:rPr>
          <w:i/>
        </w:rPr>
        <w:t>tentang</w:t>
      </w:r>
      <w:proofErr w:type="spellEnd"/>
      <w:r>
        <w:rPr>
          <w:i/>
        </w:rPr>
        <w:t xml:space="preserve"> </w:t>
      </w:r>
      <w:proofErr w:type="spellStart"/>
      <w:r>
        <w:rPr>
          <w:i/>
        </w:rPr>
        <w:t>Jemaat</w:t>
      </w:r>
      <w:proofErr w:type="spellEnd"/>
      <w:r>
        <w:rPr>
          <w:i/>
        </w:rPr>
        <w:t xml:space="preserve"> </w:t>
      </w:r>
      <w:proofErr w:type="spellStart"/>
      <w:r>
        <w:rPr>
          <w:i/>
        </w:rPr>
        <w:t>Ahmadiya</w:t>
      </w:r>
      <w:proofErr w:type="spellEnd"/>
      <w:r>
        <w:rPr>
          <w:i/>
        </w:rPr>
        <w:t xml:space="preserve"> Indonesia, </w:t>
      </w:r>
      <w:r>
        <w:t>1 June 1980 and 28 July 2005</w:t>
      </w:r>
    </w:p>
  </w:footnote>
  <w:footnote w:id="63">
    <w:p w14:paraId="0B541525" w14:textId="77777777" w:rsidR="00F52A18" w:rsidRDefault="00F52A18" w:rsidP="00194740">
      <w:pPr>
        <w:pStyle w:val="FootnoteText"/>
      </w:pPr>
      <w:r>
        <w:rPr>
          <w:rStyle w:val="FootnoteReference"/>
        </w:rPr>
        <w:footnoteRef/>
      </w:r>
      <w:r>
        <w:t xml:space="preserve"> </w:t>
      </w:r>
      <w:r>
        <w:rPr>
          <w:i/>
        </w:rPr>
        <w:t xml:space="preserve">Ayat 1 Keputusan </w:t>
      </w:r>
      <w:proofErr w:type="spellStart"/>
      <w:r>
        <w:rPr>
          <w:i/>
        </w:rPr>
        <w:t>Bersama</w:t>
      </w:r>
      <w:proofErr w:type="spellEnd"/>
      <w:r>
        <w:rPr>
          <w:i/>
        </w:rPr>
        <w:t xml:space="preserve"> </w:t>
      </w:r>
      <w:proofErr w:type="spellStart"/>
      <w:r>
        <w:rPr>
          <w:i/>
        </w:rPr>
        <w:t>Walikota</w:t>
      </w:r>
      <w:proofErr w:type="spellEnd"/>
      <w:r>
        <w:rPr>
          <w:i/>
        </w:rPr>
        <w:t xml:space="preserve">, </w:t>
      </w:r>
      <w:proofErr w:type="spellStart"/>
      <w:r>
        <w:rPr>
          <w:i/>
        </w:rPr>
        <w:t>Bupati</w:t>
      </w:r>
      <w:proofErr w:type="spellEnd"/>
      <w:r>
        <w:rPr>
          <w:i/>
        </w:rPr>
        <w:t xml:space="preserve">, </w:t>
      </w:r>
      <w:proofErr w:type="spellStart"/>
      <w:r>
        <w:rPr>
          <w:i/>
        </w:rPr>
        <w:t>Kejaksaan</w:t>
      </w:r>
      <w:proofErr w:type="spellEnd"/>
      <w:r>
        <w:rPr>
          <w:i/>
        </w:rPr>
        <w:t xml:space="preserve"> </w:t>
      </w:r>
      <w:proofErr w:type="spellStart"/>
      <w:r>
        <w:rPr>
          <w:i/>
        </w:rPr>
        <w:t>Agung</w:t>
      </w:r>
      <w:proofErr w:type="spellEnd"/>
      <w:r>
        <w:rPr>
          <w:i/>
        </w:rPr>
        <w:t xml:space="preserve"> </w:t>
      </w:r>
      <w:proofErr w:type="spellStart"/>
      <w:r>
        <w:rPr>
          <w:i/>
        </w:rPr>
        <w:t>dan</w:t>
      </w:r>
      <w:proofErr w:type="spellEnd"/>
      <w:r>
        <w:rPr>
          <w:i/>
        </w:rPr>
        <w:t xml:space="preserve"> </w:t>
      </w:r>
      <w:proofErr w:type="spellStart"/>
      <w:r>
        <w:rPr>
          <w:i/>
        </w:rPr>
        <w:t>Kepolisioan</w:t>
      </w:r>
      <w:proofErr w:type="spellEnd"/>
      <w:r>
        <w:rPr>
          <w:i/>
        </w:rPr>
        <w:t xml:space="preserve"> No. 450/</w:t>
      </w:r>
      <w:proofErr w:type="spellStart"/>
      <w:r>
        <w:rPr>
          <w:i/>
        </w:rPr>
        <w:t>Kep</w:t>
      </w:r>
      <w:proofErr w:type="spellEnd"/>
      <w:r>
        <w:rPr>
          <w:i/>
        </w:rPr>
        <w:t xml:space="preserve"> 387-Kesra.2005; No. 450/1324/</w:t>
      </w:r>
      <w:proofErr w:type="spellStart"/>
      <w:r>
        <w:rPr>
          <w:i/>
        </w:rPr>
        <w:t>Kesra</w:t>
      </w:r>
      <w:proofErr w:type="spellEnd"/>
      <w:r>
        <w:rPr>
          <w:i/>
        </w:rPr>
        <w:t xml:space="preserve"> 2708/0.2.17/Dsp.5/08/2—5; </w:t>
      </w:r>
      <w:proofErr w:type="spellStart"/>
      <w:r>
        <w:rPr>
          <w:i/>
        </w:rPr>
        <w:t>Nopol</w:t>
      </w:r>
      <w:proofErr w:type="spellEnd"/>
      <w:r>
        <w:rPr>
          <w:i/>
        </w:rPr>
        <w:t xml:space="preserve"> B/844/VII/2005/</w:t>
      </w:r>
      <w:proofErr w:type="spellStart"/>
      <w:r>
        <w:rPr>
          <w:i/>
        </w:rPr>
        <w:t>Polresta</w:t>
      </w:r>
      <w:proofErr w:type="spellEnd"/>
      <w:r>
        <w:rPr>
          <w:i/>
        </w:rPr>
        <w:t xml:space="preserve">; </w:t>
      </w:r>
      <w:proofErr w:type="spellStart"/>
      <w:r>
        <w:rPr>
          <w:i/>
        </w:rPr>
        <w:t>Nopol</w:t>
      </w:r>
      <w:proofErr w:type="spellEnd"/>
      <w:r>
        <w:rPr>
          <w:i/>
        </w:rPr>
        <w:t xml:space="preserve"> B/417/VII/2005/</w:t>
      </w:r>
      <w:proofErr w:type="spellStart"/>
      <w:r>
        <w:rPr>
          <w:i/>
        </w:rPr>
        <w:t>Polresta</w:t>
      </w:r>
      <w:proofErr w:type="spellEnd"/>
      <w:r>
        <w:rPr>
          <w:i/>
        </w:rPr>
        <w:t xml:space="preserve"> </w:t>
      </w:r>
      <w:proofErr w:type="spellStart"/>
      <w:r>
        <w:rPr>
          <w:i/>
        </w:rPr>
        <w:t>tentang</w:t>
      </w:r>
      <w:proofErr w:type="spellEnd"/>
      <w:r>
        <w:rPr>
          <w:i/>
        </w:rPr>
        <w:t xml:space="preserve"> </w:t>
      </w:r>
      <w:proofErr w:type="spellStart"/>
      <w:r>
        <w:rPr>
          <w:i/>
        </w:rPr>
        <w:t>Larangan</w:t>
      </w:r>
      <w:proofErr w:type="spellEnd"/>
      <w:r>
        <w:rPr>
          <w:i/>
        </w:rPr>
        <w:t xml:space="preserve"> </w:t>
      </w:r>
      <w:proofErr w:type="spellStart"/>
      <w:r>
        <w:rPr>
          <w:i/>
        </w:rPr>
        <w:t>Aktivitas</w:t>
      </w:r>
      <w:proofErr w:type="spellEnd"/>
      <w:r>
        <w:rPr>
          <w:i/>
        </w:rPr>
        <w:t xml:space="preserve"> </w:t>
      </w:r>
      <w:proofErr w:type="spellStart"/>
      <w:r>
        <w:rPr>
          <w:i/>
        </w:rPr>
        <w:t>Dakwah</w:t>
      </w:r>
      <w:proofErr w:type="spellEnd"/>
      <w:r>
        <w:rPr>
          <w:i/>
        </w:rPr>
        <w:t xml:space="preserve"> </w:t>
      </w:r>
      <w:proofErr w:type="spellStart"/>
      <w:r>
        <w:rPr>
          <w:i/>
        </w:rPr>
        <w:t>Ahmadiyah</w:t>
      </w:r>
      <w:proofErr w:type="spellEnd"/>
      <w:r>
        <w:rPr>
          <w:i/>
        </w:rPr>
        <w:t xml:space="preserve"> di Kota </w:t>
      </w:r>
      <w:proofErr w:type="spellStart"/>
      <w:r>
        <w:rPr>
          <w:i/>
        </w:rPr>
        <w:t>dan</w:t>
      </w:r>
      <w:proofErr w:type="spellEnd"/>
      <w:r>
        <w:rPr>
          <w:i/>
        </w:rPr>
        <w:t xml:space="preserve"> </w:t>
      </w:r>
      <w:proofErr w:type="spellStart"/>
      <w:r>
        <w:rPr>
          <w:i/>
        </w:rPr>
        <w:t>Kabupaten</w:t>
      </w:r>
      <w:proofErr w:type="spellEnd"/>
      <w:r>
        <w:rPr>
          <w:i/>
        </w:rPr>
        <w:t xml:space="preserve"> Tasikmalaya </w:t>
      </w:r>
      <w:r>
        <w:t>(Tasikmalaya Regulation), see also M. Crouch, ‘Judicial Review and Religious Freedom: The Case of Indonesian Ahmadis’, ibid, p. 562</w:t>
      </w:r>
    </w:p>
  </w:footnote>
  <w:footnote w:id="64">
    <w:p w14:paraId="33BBE9CF" w14:textId="77777777" w:rsidR="00F52A18" w:rsidRDefault="00F52A18" w:rsidP="00194740">
      <w:pPr>
        <w:pStyle w:val="FootnoteText"/>
      </w:pPr>
      <w:r>
        <w:rPr>
          <w:rStyle w:val="FootnoteReference"/>
        </w:rPr>
        <w:footnoteRef/>
      </w:r>
      <w:r>
        <w:t xml:space="preserve"> The East Java Governor Regulation No. 188/94/KPTS/013/2011. See: (</w:t>
      </w:r>
      <w:hyperlink r:id="rId8" w:history="1">
        <w:r>
          <w:rPr>
            <w:rStyle w:val="Hyperlink"/>
          </w:rPr>
          <w:t>http://e-dokumen.kemenag.go.id/files/F538xgEY1325487092.pdf</w:t>
        </w:r>
      </w:hyperlink>
      <w:r>
        <w:t>), last accessed: 27 July 2016</w:t>
      </w:r>
    </w:p>
  </w:footnote>
  <w:footnote w:id="65">
    <w:p w14:paraId="4B057AF9" w14:textId="77777777" w:rsidR="00F52A18" w:rsidRDefault="00F52A18" w:rsidP="00194740">
      <w:pPr>
        <w:pStyle w:val="FootnoteText"/>
      </w:pPr>
      <w:r>
        <w:rPr>
          <w:rStyle w:val="FootnoteReference"/>
        </w:rPr>
        <w:footnoteRef/>
      </w:r>
      <w:r>
        <w:t xml:space="preserve"> Article 8(1) of the West Java Governor Regulation No. 12/2011 on the Prohibition of Activities of the Indonesian Ahmadiyya Congregation in West Java, see (</w:t>
      </w:r>
      <w:hyperlink r:id="rId9" w:history="1">
        <w:r>
          <w:rPr>
            <w:rStyle w:val="Hyperlink"/>
          </w:rPr>
          <w:t>http://ahmadiyah.adatuh.com/wp-content/plugins/pdfjs-viewer-shortcode/web/viewer.php?file=http://ahmadiyah.adatuh.com/file/pergub-jabar-ahmadiyah.pdf&amp;download=true&amp;print=true&amp;openfile=false</w:t>
        </w:r>
      </w:hyperlink>
      <w:r>
        <w:t>), last accessed: 27 July 2016</w:t>
      </w:r>
    </w:p>
  </w:footnote>
  <w:footnote w:id="66">
    <w:p w14:paraId="2C4B74F4" w14:textId="77777777" w:rsidR="00F52A18" w:rsidRDefault="00F52A18" w:rsidP="00194740">
      <w:pPr>
        <w:pStyle w:val="FootnoteText"/>
      </w:pPr>
      <w:r>
        <w:rPr>
          <w:rStyle w:val="FootnoteReference"/>
        </w:rPr>
        <w:footnoteRef/>
      </w:r>
      <w:r>
        <w:t xml:space="preserve"> Article 9 of the West Java Governor Regulation No. 12/2011 on the Prohibition of Activities of the Indonesian Ahmadiyya Congregation in West Java</w:t>
      </w:r>
    </w:p>
  </w:footnote>
  <w:footnote w:id="67">
    <w:p w14:paraId="65D28DF4" w14:textId="77777777" w:rsidR="00F52A18" w:rsidRDefault="00F52A18" w:rsidP="00194740">
      <w:pPr>
        <w:pStyle w:val="FootnoteText"/>
      </w:pPr>
      <w:r>
        <w:rPr>
          <w:rStyle w:val="FootnoteReference"/>
        </w:rPr>
        <w:footnoteRef/>
      </w:r>
      <w:r>
        <w:t xml:space="preserve"> To access the regulation: (</w:t>
      </w:r>
      <w:hyperlink r:id="rId10" w:history="1">
        <w:r>
          <w:rPr>
            <w:rStyle w:val="Hyperlink"/>
          </w:rPr>
          <w:t>http://jdih.banjarkota.go.id/pdfdoc/PERWAL/2011/PERWAL%20NOMOR%2010%20TAHUN%202011%20TTG%20larangan%20ahmadiyah%201.pdf</w:t>
        </w:r>
      </w:hyperlink>
      <w:r>
        <w:t>), last accessed: 27 July 2016</w:t>
      </w:r>
    </w:p>
  </w:footnote>
  <w:footnote w:id="68">
    <w:p w14:paraId="599CB742" w14:textId="77777777" w:rsidR="00F52A18" w:rsidRDefault="00F52A18" w:rsidP="00194740">
      <w:pPr>
        <w:pStyle w:val="FootnoteText"/>
      </w:pPr>
      <w:r>
        <w:rPr>
          <w:rStyle w:val="FootnoteReference"/>
        </w:rPr>
        <w:footnoteRef/>
      </w:r>
      <w:r>
        <w:t xml:space="preserve"> ‘</w:t>
      </w:r>
      <w:proofErr w:type="spellStart"/>
      <w:r>
        <w:t>Penyegelan</w:t>
      </w:r>
      <w:proofErr w:type="spellEnd"/>
      <w:r>
        <w:t xml:space="preserve"> </w:t>
      </w:r>
      <w:proofErr w:type="spellStart"/>
      <w:r>
        <w:t>Bangunan</w:t>
      </w:r>
      <w:proofErr w:type="spellEnd"/>
      <w:r>
        <w:t xml:space="preserve"> </w:t>
      </w:r>
      <w:proofErr w:type="spellStart"/>
      <w:r>
        <w:t>Milik</w:t>
      </w:r>
      <w:proofErr w:type="spellEnd"/>
      <w:r>
        <w:t xml:space="preserve"> </w:t>
      </w:r>
      <w:proofErr w:type="spellStart"/>
      <w:r>
        <w:t>Ahmadiyaj</w:t>
      </w:r>
      <w:proofErr w:type="spellEnd"/>
      <w:r>
        <w:t xml:space="preserve"> </w:t>
      </w:r>
      <w:proofErr w:type="spellStart"/>
      <w:r>
        <w:t>Sawangan</w:t>
      </w:r>
      <w:proofErr w:type="spellEnd"/>
      <w:r>
        <w:t xml:space="preserve">’, Portal </w:t>
      </w:r>
      <w:proofErr w:type="spellStart"/>
      <w:r>
        <w:t>Resmi</w:t>
      </w:r>
      <w:proofErr w:type="spellEnd"/>
      <w:r>
        <w:t xml:space="preserve"> </w:t>
      </w:r>
      <w:proofErr w:type="spellStart"/>
      <w:r>
        <w:t>Pemerintah</w:t>
      </w:r>
      <w:proofErr w:type="spellEnd"/>
      <w:r>
        <w:t xml:space="preserve"> Kota Depok, 15 April 2011, (</w:t>
      </w:r>
      <w:hyperlink r:id="rId11" w:history="1">
        <w:r>
          <w:rPr>
            <w:rStyle w:val="Hyperlink"/>
          </w:rPr>
          <w:t>http://www.depok.go.id/15/04/2011/berita-foto/penyegelan-bangunan-milik-ahmadiyah-sawangan</w:t>
        </w:r>
      </w:hyperlink>
      <w:r>
        <w:t>) last accessed: 27 July 2016</w:t>
      </w:r>
    </w:p>
  </w:footnote>
  <w:footnote w:id="69">
    <w:p w14:paraId="6C2F5536" w14:textId="77777777" w:rsidR="00F52A18" w:rsidRDefault="00F52A18" w:rsidP="00194740">
      <w:pPr>
        <w:pStyle w:val="FootnoteText"/>
      </w:pPr>
      <w:r>
        <w:rPr>
          <w:rStyle w:val="FootnoteReference"/>
        </w:rPr>
        <w:footnoteRef/>
      </w:r>
      <w:r>
        <w:t xml:space="preserve"> Para. 6 of the Joint Ministerial Decree No. 3 of 2008, see (</w:t>
      </w:r>
      <w:hyperlink r:id="rId12" w:history="1">
        <w:r>
          <w:rPr>
            <w:rStyle w:val="Hyperlink"/>
          </w:rPr>
          <w:t>http://ahmadiyah.org/skb-3-menteri-tentang-ahmadiyah/</w:t>
        </w:r>
      </w:hyperlink>
      <w:r>
        <w:t>), last accessed: 27 July 2016</w:t>
      </w:r>
    </w:p>
  </w:footnote>
  <w:footnote w:id="70">
    <w:p w14:paraId="6EE4EA95" w14:textId="77777777" w:rsidR="00F52A18" w:rsidRDefault="00F52A18" w:rsidP="00194740">
      <w:pPr>
        <w:pStyle w:val="FootnoteText"/>
      </w:pPr>
      <w:r>
        <w:rPr>
          <w:rStyle w:val="FootnoteReference"/>
        </w:rPr>
        <w:footnoteRef/>
      </w:r>
      <w:r>
        <w:t xml:space="preserve"> Para. 2 of the Joint Ministerial Decree No. 3 of 2008</w:t>
      </w:r>
    </w:p>
  </w:footnote>
  <w:footnote w:id="71">
    <w:p w14:paraId="5F083A9B" w14:textId="77777777" w:rsidR="00F52A18" w:rsidRDefault="00F52A18" w:rsidP="00194740">
      <w:pPr>
        <w:pStyle w:val="FootnoteText"/>
      </w:pPr>
      <w:r>
        <w:rPr>
          <w:rStyle w:val="FootnoteReference"/>
        </w:rPr>
        <w:footnoteRef/>
      </w:r>
      <w:r>
        <w:t xml:space="preserve"> ‘Is a new law enough to protect religious minorities in Indonesia?’, </w:t>
      </w:r>
      <w:proofErr w:type="spellStart"/>
      <w:r>
        <w:t>Irsyad</w:t>
      </w:r>
      <w:proofErr w:type="spellEnd"/>
      <w:r>
        <w:t xml:space="preserve"> </w:t>
      </w:r>
      <w:proofErr w:type="spellStart"/>
      <w:r>
        <w:t>Rafsadi</w:t>
      </w:r>
      <w:proofErr w:type="spellEnd"/>
      <w:r>
        <w:t>, The Conversation, 21 November 2014, (</w:t>
      </w:r>
      <w:hyperlink r:id="rId13" w:history="1">
        <w:r>
          <w:rPr>
            <w:rStyle w:val="Hyperlink"/>
          </w:rPr>
          <w:t>https://theconversation.com/is-a-new-law-enough-to-protect-religious-minorities-in-indonesia-34242</w:t>
        </w:r>
      </w:hyperlink>
      <w:r>
        <w:t>), last accessed 26 July 2016</w:t>
      </w:r>
    </w:p>
  </w:footnote>
  <w:footnote w:id="72">
    <w:p w14:paraId="59BD3C7A" w14:textId="77777777" w:rsidR="00F52A18" w:rsidRDefault="00F52A18" w:rsidP="00194740">
      <w:pPr>
        <w:pStyle w:val="FootnoteText"/>
      </w:pPr>
      <w:r>
        <w:rPr>
          <w:rStyle w:val="FootnoteReference"/>
        </w:rPr>
        <w:footnoteRef/>
      </w:r>
      <w:r>
        <w:t xml:space="preserve"> ‘</w:t>
      </w:r>
      <w:proofErr w:type="spellStart"/>
      <w:r>
        <w:t>Rancangan</w:t>
      </w:r>
      <w:proofErr w:type="spellEnd"/>
      <w:r>
        <w:t xml:space="preserve"> UU </w:t>
      </w:r>
      <w:proofErr w:type="spellStart"/>
      <w:r>
        <w:t>Perlindungan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atau</w:t>
      </w:r>
      <w:proofErr w:type="spellEnd"/>
      <w:r>
        <w:t xml:space="preserve"> </w:t>
      </w:r>
      <w:proofErr w:type="spellStart"/>
      <w:r>
        <w:t>Sumber</w:t>
      </w:r>
      <w:proofErr w:type="spellEnd"/>
      <w:r>
        <w:t xml:space="preserve"> </w:t>
      </w:r>
      <w:proofErr w:type="spellStart"/>
      <w:r>
        <w:t>Masalah</w:t>
      </w:r>
      <w:proofErr w:type="spellEnd"/>
      <w:r>
        <w:t xml:space="preserve"> </w:t>
      </w:r>
      <w:proofErr w:type="spellStart"/>
      <w:r>
        <w:t>Baru</w:t>
      </w:r>
      <w:proofErr w:type="spellEnd"/>
      <w:r>
        <w:t xml:space="preserve">?’, </w:t>
      </w:r>
      <w:proofErr w:type="spellStart"/>
      <w:r>
        <w:t>Warsa</w:t>
      </w:r>
      <w:proofErr w:type="spellEnd"/>
      <w:r>
        <w:t xml:space="preserve"> </w:t>
      </w:r>
      <w:proofErr w:type="spellStart"/>
      <w:r>
        <w:t>Tarsono</w:t>
      </w:r>
      <w:proofErr w:type="spellEnd"/>
      <w:r>
        <w:t xml:space="preserve">, </w:t>
      </w:r>
      <w:proofErr w:type="spellStart"/>
      <w:r>
        <w:t>Madina</w:t>
      </w:r>
      <w:proofErr w:type="spellEnd"/>
      <w:r>
        <w:t>, 28 June 2015, (</w:t>
      </w:r>
      <w:hyperlink r:id="rId14" w:history="1">
        <w:r>
          <w:rPr>
            <w:rStyle w:val="Hyperlink"/>
          </w:rPr>
          <w:t>http://www.madinaonline.id/wacana/rancangan-uu-perlindungan-umat-beragama-jalan-keluar-atau-sumber-masalah-baru/?pps=full_post</w:t>
        </w:r>
      </w:hyperlink>
      <w:r>
        <w:t>), last accessed: 26 July 2016</w:t>
      </w:r>
    </w:p>
  </w:footnote>
  <w:footnote w:id="73">
    <w:p w14:paraId="4BC5EAF0" w14:textId="77777777" w:rsidR="00F52A18" w:rsidRDefault="00F52A18" w:rsidP="00194740">
      <w:pPr>
        <w:pStyle w:val="FootnoteText"/>
      </w:pPr>
      <w:r>
        <w:rPr>
          <w:rStyle w:val="FootnoteReference"/>
        </w:rPr>
        <w:footnoteRef/>
      </w:r>
      <w:r>
        <w:t xml:space="preserve"> See para. 7 of </w:t>
      </w:r>
      <w:proofErr w:type="spellStart"/>
      <w:r>
        <w:t>Pernyataan</w:t>
      </w:r>
      <w:proofErr w:type="spellEnd"/>
      <w:r>
        <w:t xml:space="preserve"> </w:t>
      </w:r>
      <w:proofErr w:type="spellStart"/>
      <w:r>
        <w:t>Sikap</w:t>
      </w:r>
      <w:proofErr w:type="spellEnd"/>
      <w:r>
        <w:t xml:space="preserve"> Indonesian Conference on Religion and Peace (ICRP) </w:t>
      </w:r>
      <w:proofErr w:type="spellStart"/>
      <w:r>
        <w:t>atas</w:t>
      </w:r>
      <w:proofErr w:type="spellEnd"/>
      <w:r>
        <w:t xml:space="preserve"> </w:t>
      </w:r>
      <w:proofErr w:type="spellStart"/>
      <w:r>
        <w:t>Rancangan</w:t>
      </w:r>
      <w:proofErr w:type="spellEnd"/>
      <w:r>
        <w:t xml:space="preserve"> </w:t>
      </w:r>
      <w:proofErr w:type="spellStart"/>
      <w:r>
        <w:t>Undang-Undang</w:t>
      </w:r>
      <w:proofErr w:type="spellEnd"/>
      <w:r>
        <w:t xml:space="preserve"> </w:t>
      </w:r>
      <w:proofErr w:type="spellStart"/>
      <w:r>
        <w:t>Perlindungan</w:t>
      </w:r>
      <w:proofErr w:type="spellEnd"/>
      <w:r>
        <w:t xml:space="preserve"> </w:t>
      </w:r>
      <w:proofErr w:type="spellStart"/>
      <w:r>
        <w:t>Umat</w:t>
      </w:r>
      <w:proofErr w:type="spellEnd"/>
      <w:r>
        <w:t xml:space="preserve"> </w:t>
      </w:r>
      <w:proofErr w:type="spellStart"/>
      <w:r>
        <w:t>Beragama</w:t>
      </w:r>
      <w:proofErr w:type="spellEnd"/>
      <w:r>
        <w:t>, (</w:t>
      </w:r>
      <w:hyperlink r:id="rId15" w:history="1">
        <w:r>
          <w:rPr>
            <w:rStyle w:val="Hyperlink"/>
          </w:rPr>
          <w:t>http://icrp-online.org/wp-content/uploads/2014/11/Pernyataan-Sikap-ICRP-terkait-RUU-PUB.pdf</w:t>
        </w:r>
      </w:hyperlink>
      <w:r>
        <w:t>), last accessed: 26 July 2016</w:t>
      </w:r>
    </w:p>
  </w:footnote>
  <w:footnote w:id="74">
    <w:p w14:paraId="02D2D222" w14:textId="77777777" w:rsidR="00F52A18" w:rsidRDefault="00F52A18" w:rsidP="00194740">
      <w:pPr>
        <w:pStyle w:val="FootnoteText"/>
      </w:pPr>
      <w:r>
        <w:rPr>
          <w:rStyle w:val="FootnoteReference"/>
        </w:rPr>
        <w:footnoteRef/>
      </w:r>
      <w:r>
        <w:t xml:space="preserve"> ‘</w:t>
      </w:r>
      <w:proofErr w:type="spellStart"/>
      <w:r>
        <w:t>Rancangan</w:t>
      </w:r>
      <w:proofErr w:type="spellEnd"/>
      <w:r>
        <w:t xml:space="preserve"> UU </w:t>
      </w:r>
      <w:proofErr w:type="spellStart"/>
      <w:r>
        <w:t>Perlindungan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atau</w:t>
      </w:r>
      <w:proofErr w:type="spellEnd"/>
      <w:r>
        <w:t xml:space="preserve"> </w:t>
      </w:r>
      <w:proofErr w:type="spellStart"/>
      <w:r>
        <w:t>Sumber</w:t>
      </w:r>
      <w:proofErr w:type="spellEnd"/>
      <w:r>
        <w:t xml:space="preserve"> </w:t>
      </w:r>
      <w:proofErr w:type="spellStart"/>
      <w:r>
        <w:t>Masalah</w:t>
      </w:r>
      <w:proofErr w:type="spellEnd"/>
      <w:r>
        <w:t xml:space="preserve"> </w:t>
      </w:r>
      <w:proofErr w:type="spellStart"/>
      <w:r>
        <w:t>Baru</w:t>
      </w:r>
      <w:proofErr w:type="spellEnd"/>
      <w:r>
        <w:t xml:space="preserve">?’, </w:t>
      </w:r>
      <w:proofErr w:type="spellStart"/>
      <w:r>
        <w:t>Warsa</w:t>
      </w:r>
      <w:proofErr w:type="spellEnd"/>
      <w:r>
        <w:t xml:space="preserve"> </w:t>
      </w:r>
      <w:proofErr w:type="spellStart"/>
      <w:r>
        <w:t>Tarsono</w:t>
      </w:r>
      <w:proofErr w:type="spellEnd"/>
      <w:r>
        <w:t xml:space="preserve">, </w:t>
      </w:r>
      <w:proofErr w:type="spellStart"/>
      <w:r>
        <w:t>Madina</w:t>
      </w:r>
      <w:proofErr w:type="spellEnd"/>
      <w:r>
        <w:t>, 28 June 2015, ibid</w:t>
      </w:r>
    </w:p>
  </w:footnote>
  <w:footnote w:id="75">
    <w:p w14:paraId="6CD406C4" w14:textId="77777777" w:rsidR="00F52A18" w:rsidRDefault="00F52A18" w:rsidP="00194740">
      <w:pPr>
        <w:pStyle w:val="FootnoteText"/>
      </w:pPr>
      <w:r>
        <w:rPr>
          <w:rStyle w:val="FootnoteReference"/>
        </w:rPr>
        <w:footnoteRef/>
      </w:r>
      <w:r>
        <w:t xml:space="preserve"> Program </w:t>
      </w:r>
      <w:proofErr w:type="spellStart"/>
      <w:r>
        <w:t>Legislasi</w:t>
      </w:r>
      <w:proofErr w:type="spellEnd"/>
      <w:r>
        <w:t xml:space="preserve"> Nasional, Dewan </w:t>
      </w:r>
      <w:proofErr w:type="spellStart"/>
      <w:r>
        <w:t>Perwakilan</w:t>
      </w:r>
      <w:proofErr w:type="spellEnd"/>
      <w:r>
        <w:t xml:space="preserve"> </w:t>
      </w:r>
      <w:proofErr w:type="spellStart"/>
      <w:r>
        <w:t>Raktay</w:t>
      </w:r>
      <w:proofErr w:type="spellEnd"/>
      <w:r>
        <w:t xml:space="preserve"> </w:t>
      </w:r>
      <w:proofErr w:type="spellStart"/>
      <w:r>
        <w:t>Republik</w:t>
      </w:r>
      <w:proofErr w:type="spellEnd"/>
      <w:r>
        <w:t xml:space="preserve"> Indonesia, see: (</w:t>
      </w:r>
      <w:hyperlink r:id="rId16" w:history="1">
        <w:r>
          <w:rPr>
            <w:rStyle w:val="Hyperlink"/>
          </w:rPr>
          <w:t>http://www.dpr.go.id/prolegnas/deskripsi-konsepsi2/id/123</w:t>
        </w:r>
      </w:hyperlink>
      <w:r>
        <w:t>), last accessed 26 July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68725" w14:textId="658E0122" w:rsidR="00F52A18" w:rsidRDefault="00F52A18" w:rsidP="009F6943">
    <w:pPr>
      <w:pStyle w:val="Header"/>
      <w:tabs>
        <w:tab w:val="clear" w:pos="4320"/>
        <w:tab w:val="clear" w:pos="8640"/>
        <w:tab w:val="left" w:pos="5760"/>
      </w:tabs>
    </w:pPr>
    <w:r>
      <w:rPr>
        <w:noProof/>
      </w:rPr>
      <mc:AlternateContent>
        <mc:Choice Requires="wps">
          <w:drawing>
            <wp:anchor distT="0" distB="0" distL="114300" distR="114300" simplePos="0" relativeHeight="251670528" behindDoc="1" locked="0" layoutInCell="1" allowOverlap="1" wp14:anchorId="14AC6C5F" wp14:editId="1A8A8C00">
              <wp:simplePos x="114300" y="85725"/>
              <wp:positionH relativeFrom="page">
                <wp:align>left</wp:align>
              </wp:positionH>
              <wp:positionV relativeFrom="page">
                <wp:align>top</wp:align>
              </wp:positionV>
              <wp:extent cx="6410325" cy="6153150"/>
              <wp:effectExtent l="0" t="0" r="1905" b="0"/>
              <wp:wrapNone/>
              <wp:docPr id="122" name="Rectangle 122"/>
              <wp:cNvGraphicFramePr/>
              <a:graphic xmlns:a="http://schemas.openxmlformats.org/drawingml/2006/main">
                <a:graphicData uri="http://schemas.microsoft.com/office/word/2010/wordprocessingShape">
                  <wps:wsp>
                    <wps:cNvSpPr/>
                    <wps:spPr>
                      <a:xfrm>
                        <a:off x="0" y="0"/>
                        <a:ext cx="6410325" cy="61531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33E80F48" id="Rectangle 122" o:spid="_x0000_s1026" style="position:absolute;margin-left:0;margin-top:0;width:504.75pt;height:484.5pt;z-index:-251645952;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XUlQIAAI0FAAAOAAAAZHJzL2Uyb0RvYy54bWysVN1PGzEMf5+0/yHK+7gPWsYqrqgCMU1C&#10;UAETzyGX9CLl4ixJe+3++jm5DzqG9jCtD2kc2z/bv7N9cblvNdkJ5xWYihYnOSXCcKiV2VT0+9PN&#10;p3NKfGCmZhqMqOhBeHq5/PjhorMLUUIDuhaOIIjxi85WtAnBLrLM80a0zJ+AFQaVElzLAopuk9WO&#10;dYje6qzM87OsA1dbB1x4j6/XvZIuE76Ugod7Kb0IRFcUcwvpdOl8iWe2vGCLjWO2UXxIg/1DFi1T&#10;BoNOUNcsMLJ16g+oVnEHHmQ44dBmIKXiItWA1RT5m2oeG2ZFqgXJ8Xaiyf8/WH63Wzuiavx2ZUmJ&#10;YS1+pAekjZmNFiQ+IkWd9Qu0fLRrN0ger7HevXRt/MdKyD7RephoFftAOD6ezYr8tJxTwlF3VsxP&#10;i3kiPnt1t86HrwJaEi8VdZhAopPtbn3AkGg6msRoHrSqb5TWSYi9Iq60IzuGX5lxLkxIaaPXb5ba&#10;RHsD0bMHjS9ZrK6vJ93CQYtop82DkEgNVlCmZFJTvg1U9KqG1aKPP8/xF0mL0cfUkpQAI7LE+BP2&#10;ADBaHhdRDDCDfXQVqacn5/xvifU5TB4pMpgwObfKgHsPQIcpcm8/ktRTE1l6gfqAjeOgnyhv+Y3C&#10;T3fLfFgzhyOEw4ZrIdzjITV0FYXhRkkD7ud779EeOxu1lHQ4khX1P7bMCUr0N4M9/6WYzeIMJ2E2&#10;/1yi4I41L8cas22vAPuhwAVkebpG+6DHq3TQPuP2WMWoqGKGY+yK8uBG4Sr0qwL3DxerVTLDubUs&#10;3JpHyyN4ZDW25tP+mTk79G/A1r+DcXzZ4k0b97bR08BqG0Cq1OOvvA5848ynxhn2U1wqx3Kyet2i&#10;y18AAAD//wMAUEsDBBQABgAIAAAAIQDnbfsT3QAAAAYBAAAPAAAAZHJzL2Rvd25yZXYueG1sTI9B&#10;SwMxEIXvgv8hjOBFbKJg6a47W4q0oCJKqxdv6WbcDW4myyZt039v6kUvA4/3eO+bap5cL/Y0BusZ&#10;4WaiQBA33lhuET7eV9czECFqNrr3TAhHCjCvz88qXRp/4DXtN7EVuYRDqRG6GIdSytB05HSY+IE4&#10;e19+dDpmObbSjPqQy10vb5WaSqct54VOD/TQUfO92TmExdPbMx/d1adNq9ly+fq4frE+IV5epMU9&#10;iEgp/oXhhJ/Roc5MW79jE0SPkB+Jv/fkKVXcgdgiFNNCgawr+R+//gEAAP//AwBQSwECLQAUAAYA&#10;CAAAACEAtoM4kv4AAADhAQAAEwAAAAAAAAAAAAAAAAAAAAAAW0NvbnRlbnRfVHlwZXNdLnhtbFBL&#10;AQItABQABgAIAAAAIQA4/SH/1gAAAJQBAAALAAAAAAAAAAAAAAAAAC8BAABfcmVscy8ucmVsc1BL&#10;AQItABQABgAIAAAAIQCGT7XUlQIAAI0FAAAOAAAAAAAAAAAAAAAAAC4CAABkcnMvZTJvRG9jLnht&#10;bFBLAQItABQABgAIAAAAIQDnbfsT3QAAAAYBAAAPAAAAAAAAAAAAAAAAAO8EAABkcnMvZG93bnJl&#10;di54bWxQSwUGAAAAAAQABADzAAAA+QUAAAAA&#10;" fillcolor="#3597eb [3205]" stroked="f" strokeweight="1pt">
              <w10:wrap anchorx="page" anchory="page"/>
            </v:rect>
          </w:pict>
        </mc:Fallback>
      </mc:AlternateContent>
    </w:r>
    <w:r>
      <w:tab/>
    </w:r>
  </w:p>
  <w:p w14:paraId="411B84E3" w14:textId="77777777" w:rsidR="00F52A18" w:rsidRDefault="00F52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FD576" w14:textId="16F29796" w:rsidR="00F52A18" w:rsidRDefault="00E85AD3">
    <w:pPr>
      <w:pStyle w:val="Header"/>
    </w:pPr>
    <w:r>
      <w:rPr>
        <w:noProof/>
      </w:rPr>
      <w:drawing>
        <wp:anchor distT="0" distB="0" distL="114300" distR="114300" simplePos="0" relativeHeight="251673600" behindDoc="1" locked="0" layoutInCell="1" allowOverlap="1" wp14:anchorId="1D94465A" wp14:editId="3734B93A">
          <wp:simplePos x="0" y="0"/>
          <wp:positionH relativeFrom="column">
            <wp:posOffset>3187700</wp:posOffset>
          </wp:positionH>
          <wp:positionV relativeFrom="page">
            <wp:posOffset>411480</wp:posOffset>
          </wp:positionV>
          <wp:extent cx="1188720" cy="342329"/>
          <wp:effectExtent l="0" t="0" r="0" b="635"/>
          <wp:wrapNone/>
          <wp:docPr id="24" name="Picture 24" descr="C:\Users\Andryanto\AppData\Local\Microsoft\Windows\INetCache\Content.Word\Logo Set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yanto\AppData\Local\Microsoft\Windows\INetCache\Content.Word\Logo Setara.jp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r="9816" b="48790"/>
                  <a:stretch/>
                </pic:blipFill>
                <pic:spPr bwMode="auto">
                  <a:xfrm>
                    <a:off x="0" y="0"/>
                    <a:ext cx="1188720" cy="3423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76A5709E" wp14:editId="2834E292">
          <wp:simplePos x="0" y="0"/>
          <wp:positionH relativeFrom="column">
            <wp:posOffset>1092200</wp:posOffset>
          </wp:positionH>
          <wp:positionV relativeFrom="page">
            <wp:posOffset>271145</wp:posOffset>
          </wp:positionV>
          <wp:extent cx="1813560" cy="602742"/>
          <wp:effectExtent l="0" t="0" r="0" b="0"/>
          <wp:wrapNone/>
          <wp:docPr id="21" name="Picture 21" descr="C:\Users\Andryanto\AppData\Local\Microsoft\Windows\INetCache\Content.Word\Logo Fahm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yanto\AppData\Local\Microsoft\Windows\INetCache\Content.Word\Logo Fahmin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3560" cy="602742"/>
                  </a:xfrm>
                  <a:prstGeom prst="rect">
                    <a:avLst/>
                  </a:prstGeom>
                  <a:noFill/>
                  <a:ln>
                    <a:noFill/>
                  </a:ln>
                </pic:spPr>
              </pic:pic>
            </a:graphicData>
          </a:graphic>
          <wp14:sizeRelH relativeFrom="page">
            <wp14:pctWidth>0</wp14:pctWidth>
          </wp14:sizeRelH>
          <wp14:sizeRelV relativeFrom="page">
            <wp14:pctHeight>0</wp14:pctHeight>
          </wp14:sizeRelV>
        </wp:anchor>
      </w:drawing>
    </w:r>
    <w:r w:rsidR="00F52A18">
      <w:rPr>
        <w:noProof/>
      </w:rPr>
      <w:drawing>
        <wp:anchor distT="0" distB="0" distL="114300" distR="114300" simplePos="0" relativeHeight="251662335" behindDoc="1" locked="0" layoutInCell="1" allowOverlap="1" wp14:anchorId="3E029904" wp14:editId="70F75E19">
          <wp:simplePos x="0" y="0"/>
          <wp:positionH relativeFrom="margin">
            <wp:posOffset>-3632200</wp:posOffset>
          </wp:positionH>
          <wp:positionV relativeFrom="page">
            <wp:posOffset>3388995</wp:posOffset>
          </wp:positionV>
          <wp:extent cx="11523936" cy="7304371"/>
          <wp:effectExtent l="0" t="0" r="190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edit_2_8187644112.png"/>
                  <pic:cNvPicPr/>
                </pic:nvPicPr>
                <pic:blipFill>
                  <a:blip r:embed="rId4"/>
                  <a:stretch>
                    <a:fillRect/>
                  </a:stretch>
                </pic:blipFill>
                <pic:spPr>
                  <a:xfrm>
                    <a:off x="0" y="0"/>
                    <a:ext cx="11523936" cy="7304371"/>
                  </a:xfrm>
                  <a:prstGeom prst="rect">
                    <a:avLst/>
                  </a:prstGeom>
                </pic:spPr>
              </pic:pic>
            </a:graphicData>
          </a:graphic>
          <wp14:sizeRelH relativeFrom="page">
            <wp14:pctWidth>0</wp14:pctWidth>
          </wp14:sizeRelH>
          <wp14:sizeRelV relativeFrom="page">
            <wp14:pctHeight>0</wp14:pctHeight>
          </wp14:sizeRelV>
        </wp:anchor>
      </w:drawing>
    </w:r>
    <w:r w:rsidR="00F52A18">
      <w:rPr>
        <w:noProof/>
      </w:rPr>
      <w:drawing>
        <wp:anchor distT="0" distB="0" distL="114300" distR="114300" simplePos="0" relativeHeight="251667456" behindDoc="1" locked="0" layoutInCell="1" allowOverlap="1" wp14:anchorId="10166920" wp14:editId="1C7D32B2">
          <wp:simplePos x="628650" y="438150"/>
          <wp:positionH relativeFrom="page">
            <wp:align>center</wp:align>
          </wp:positionH>
          <wp:positionV relativeFrom="page">
            <wp:align>top</wp:align>
          </wp:positionV>
          <wp:extent cx="7596000" cy="3978000"/>
          <wp:effectExtent l="0" t="0" r="5080" b="381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er_Header New.png"/>
                  <pic:cNvPicPr/>
                </pic:nvPicPr>
                <pic:blipFill>
                  <a:blip r:embed="rId5">
                    <a:extLst>
                      <a:ext uri="{28A0092B-C50C-407E-A947-70E740481C1C}">
                        <a14:useLocalDpi xmlns:a14="http://schemas.microsoft.com/office/drawing/2010/main" val="0"/>
                      </a:ext>
                    </a:extLst>
                  </a:blip>
                  <a:stretch>
                    <a:fillRect/>
                  </a:stretch>
                </pic:blipFill>
                <pic:spPr>
                  <a:xfrm>
                    <a:off x="0" y="0"/>
                    <a:ext cx="7596000" cy="397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A62C" w14:textId="77777777" w:rsidR="00F52A18" w:rsidRDefault="00F52A18" w:rsidP="009F6943">
    <w:pPr>
      <w:pStyle w:val="Header"/>
      <w:tabs>
        <w:tab w:val="clear" w:pos="4320"/>
        <w:tab w:val="clear" w:pos="8640"/>
        <w:tab w:val="left" w:pos="5760"/>
      </w:tabs>
    </w:pPr>
    <w:r>
      <w:tab/>
    </w:r>
    <w:r>
      <w:rPr>
        <w:noProof/>
      </w:rPr>
      <w:drawing>
        <wp:anchor distT="0" distB="0" distL="114300" distR="114300" simplePos="0" relativeHeight="251672576" behindDoc="1" locked="0" layoutInCell="1" allowOverlap="1" wp14:anchorId="102F0AEB" wp14:editId="77C2960F">
          <wp:simplePos x="0" y="0"/>
          <wp:positionH relativeFrom="page">
            <wp:align>left</wp:align>
          </wp:positionH>
          <wp:positionV relativeFrom="page">
            <wp:align>top</wp:align>
          </wp:positionV>
          <wp:extent cx="7560000" cy="3060000"/>
          <wp:effectExtent l="0" t="0" r="3175" b="762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cument_Header Graphic.png"/>
                  <pic:cNvPicPr/>
                </pic:nvPicPr>
                <pic:blipFill>
                  <a:blip r:embed="rId1">
                    <a:extLst>
                      <a:ext uri="{28A0092B-C50C-407E-A947-70E740481C1C}">
                        <a14:useLocalDpi xmlns:a14="http://schemas.microsoft.com/office/drawing/2010/main" val="0"/>
                      </a:ext>
                    </a:extLst>
                  </a:blip>
                  <a:stretch>
                    <a:fillRect/>
                  </a:stretch>
                </pic:blipFill>
                <pic:spPr>
                  <a:xfrm>
                    <a:off x="0" y="0"/>
                    <a:ext cx="7560000" cy="3060000"/>
                  </a:xfrm>
                  <a:prstGeom prst="rect">
                    <a:avLst/>
                  </a:prstGeom>
                </pic:spPr>
              </pic:pic>
            </a:graphicData>
          </a:graphic>
          <wp14:sizeRelH relativeFrom="margin">
            <wp14:pctWidth>0</wp14:pctWidth>
          </wp14:sizeRelH>
          <wp14:sizeRelV relativeFrom="margin">
            <wp14:pctHeight>0</wp14:pctHeight>
          </wp14:sizeRelV>
        </wp:anchor>
      </w:drawing>
    </w:r>
  </w:p>
  <w:p w14:paraId="4FF9D1BB" w14:textId="77777777" w:rsidR="00F52A18" w:rsidRDefault="00F52A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F7A5" w14:textId="77777777" w:rsidR="00F52A18" w:rsidRDefault="00F52A18" w:rsidP="009E0251">
    <w:pPr>
      <w:pStyle w:val="Header"/>
      <w:tabs>
        <w:tab w:val="clear" w:pos="4320"/>
        <w:tab w:val="clear" w:pos="8640"/>
        <w:tab w:val="left" w:pos="5760"/>
      </w:tabs>
    </w:pPr>
    <w:r>
      <w:rPr>
        <w:noProof/>
      </w:rPr>
      <w:drawing>
        <wp:anchor distT="0" distB="0" distL="114300" distR="114300" simplePos="0" relativeHeight="251666432" behindDoc="1" locked="0" layoutInCell="1" allowOverlap="1" wp14:anchorId="7F03C298" wp14:editId="4E4D38E1">
          <wp:simplePos x="722489" y="440267"/>
          <wp:positionH relativeFrom="page">
            <wp:align>center</wp:align>
          </wp:positionH>
          <wp:positionV relativeFrom="page">
            <wp:align>top</wp:align>
          </wp:positionV>
          <wp:extent cx="7560000" cy="3060000"/>
          <wp:effectExtent l="0" t="0" r="3175" b="762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cument_Header Graphic.png"/>
                  <pic:cNvPicPr/>
                </pic:nvPicPr>
                <pic:blipFill>
                  <a:blip r:embed="rId1">
                    <a:extLst>
                      <a:ext uri="{28A0092B-C50C-407E-A947-70E740481C1C}">
                        <a14:useLocalDpi xmlns:a14="http://schemas.microsoft.com/office/drawing/2010/main" val="0"/>
                      </a:ext>
                    </a:extLst>
                  </a:blip>
                  <a:stretch>
                    <a:fillRect/>
                  </a:stretch>
                </pic:blipFill>
                <pic:spPr>
                  <a:xfrm>
                    <a:off x="0" y="0"/>
                    <a:ext cx="7560000" cy="3060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5C115" w14:textId="77777777" w:rsidR="00F52A18" w:rsidRDefault="00F52A18">
    <w:pPr>
      <w:pStyle w:val="Header"/>
    </w:pPr>
    <w:r>
      <w:rPr>
        <w:noProof/>
      </w:rPr>
      <w:drawing>
        <wp:anchor distT="0" distB="0" distL="114300" distR="114300" simplePos="0" relativeHeight="251669504" behindDoc="1" locked="0" layoutInCell="1" allowOverlap="1" wp14:anchorId="038BECBA" wp14:editId="2A055F02">
          <wp:simplePos x="723900" y="438150"/>
          <wp:positionH relativeFrom="page">
            <wp:align>center</wp:align>
          </wp:positionH>
          <wp:positionV relativeFrom="page">
            <wp:align>top</wp:align>
          </wp:positionV>
          <wp:extent cx="7560000" cy="1170000"/>
          <wp:effectExtent l="0" t="0" r="3175"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ument_Content Cen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D92BB" w14:textId="77777777" w:rsidR="00F52A18" w:rsidRDefault="00F52A18" w:rsidP="00792F19">
    <w:pPr>
      <w:pStyle w:val="Header"/>
      <w:tabs>
        <w:tab w:val="right" w:pos="10064"/>
      </w:tabs>
    </w:pPr>
    <w:r>
      <w:rPr>
        <w:noProof/>
      </w:rPr>
      <mc:AlternateContent>
        <mc:Choice Requires="wps">
          <w:drawing>
            <wp:anchor distT="0" distB="0" distL="114300" distR="114300" simplePos="0" relativeHeight="251663360" behindDoc="1" locked="0" layoutInCell="1" allowOverlap="1" wp14:anchorId="2B1A957D" wp14:editId="35E59402">
              <wp:simplePos x="0" y="0"/>
              <wp:positionH relativeFrom="page">
                <wp:align>left</wp:align>
              </wp:positionH>
              <wp:positionV relativeFrom="paragraph">
                <wp:posOffset>-360045</wp:posOffset>
              </wp:positionV>
              <wp:extent cx="7560000" cy="10692000"/>
              <wp:effectExtent l="0" t="0" r="3175" b="0"/>
              <wp:wrapNone/>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10692000"/>
                      </a:xfrm>
                      <a:prstGeom prst="rect">
                        <a:avLst/>
                      </a:prstGeom>
                      <a:solidFill>
                        <a:srgbClr val="EFA26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41AE3" id="Rectangle 8" o:spid="_x0000_s1026" style="position:absolute;margin-left:0;margin-top:-28.35pt;width:595.3pt;height:841.9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ZzqwIAALMFAAAOAAAAZHJzL2Uyb0RvYy54bWysVEtv2zAMvg/YfxB0X+0EbdoadYogXYYB&#10;QVu0HXpWZCk2JouapMTJfv0oyXHTB3YY5oNgih8/PkTy6nrXKrIV1jWgSzo6ySkRmkPV6HVJfzwt&#10;vlxQ4jzTFVOgRUn3wtHr6edPV50pxBhqUJWwBEm0KzpT0tp7U2SZ47VomTsBIzQqJdiWeRTtOqss&#10;65C9Vdk4zydZB7YyFrhwDm9vkpJOI7+Ugvs7KZ3wRJUUY/PxtPFchTObXrFibZmpG96Hwf4hipY1&#10;Gp0OVDfMM7KxzTuqtuEWHEh/wqHNQMqGi5gDZjPK32TzWDMjYi5YHGeGMrn/R8tvt/eWNFVJ8aE0&#10;a/GJHrBoTK+VIBehPJ1xBaIezb0NCTqzBP7TEQ3zGlFi5gzi8ekDNnsFDoLrzXbStsEcMya7WP79&#10;UH6x84Tj5fnZJMePEo66UT65xAeOL5Sx4mBvrPPfBLQk/JTUou9Yd7ZdOh8iYMUBEqMF1VSLRqko&#10;2PVqrizZMmyGr4vZeJKCxqSOYUoHsIZglhjDTUwtZRPz8nslAk7pByGxgBj/OEYSW1cMfhjnQvtR&#10;UtWsEsn9Wcw00Q8WMfxIGJgl+h+4e4IwFu+5E02PD6Yidv5gnP8tsGQ8WETPoP1g3DYa7EcECrPq&#10;PSf8oUipNKFKK6j22F4W0tw5wxcNvtuSOX/PLA4aPjYuD3+Hh1TQlRT6P0pqsL8/ug947H/UUtLh&#10;4JbU/dowKyhR3zVOxuXo9DRMehROz87HKNhjzepYozftHLAdRrimDI+/Ae/V4VdaaJ9xx8yCV1Qx&#10;zdF3Sbm3B2Hu00LBLcXFbBZhON2G+aV+NDyQh6qGvnzaPTNr+ub12Pi3cBhyVrzp4YQNlhpmGw+y&#10;iQ3+Ute+3rgZYuP0WyysnmM5ol527fQPAAAA//8DAFBLAwQUAAYACAAAACEAbD8LxOAAAAAKAQAA&#10;DwAAAGRycy9kb3ducmV2LnhtbEyPwU7DMBBE70j8g7VI3FonlZqWEKeqQPRUIREQXN14SUzjdRQ7&#10;bfh7tid6m9WsZt4Um8l14oRDsJ4UpPMEBFLtjaVGwcf7y2wNIkRNRneeUMEvBtiUtzeFzo0/0xue&#10;qtgIDqGQawVtjH0uZahbdDrMfY/E3rcfnI58Do00gz5zuOvkIkky6bQlbmh1j08t1sdqdApeK1Pt&#10;jvvp50tu7d4+j/3nbr1U6v5u2j6CiDjF/2e44DM6lMx08COZIDoFPCQqmC2zFYiLnT4kGYgDq2yx&#10;SkGWhbyeUP4BAAD//wMAUEsBAi0AFAAGAAgAAAAhALaDOJL+AAAA4QEAABMAAAAAAAAAAAAAAAAA&#10;AAAAAFtDb250ZW50X1R5cGVzXS54bWxQSwECLQAUAAYACAAAACEAOP0h/9YAAACUAQAACwAAAAAA&#10;AAAAAAAAAAAvAQAAX3JlbHMvLnJlbHNQSwECLQAUAAYACAAAACEA+Q6Wc6sCAACzBQAADgAAAAAA&#10;AAAAAAAAAAAuAgAAZHJzL2Uyb0RvYy54bWxQSwECLQAUAAYACAAAACEAbD8LxOAAAAAKAQAADwAA&#10;AAAAAAAAAAAAAAAFBQAAZHJzL2Rvd25yZXYueG1sUEsFBgAAAAAEAAQA8wAAABIGAAAAAA==&#10;" fillcolor="#efa261" stroked="f" strokeweight="1pt">
              <v:path arrowok="t"/>
              <o:lock v:ext="edit" aspectratio="t"/>
              <w10:wrap anchorx="page"/>
            </v:rect>
          </w:pict>
        </mc:Fallback>
      </mc:AlternateContent>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C94C3" w14:textId="77777777" w:rsidR="00F52A18" w:rsidRDefault="00F52A18">
    <w:pPr>
      <w:pStyle w:val="Header"/>
    </w:pPr>
    <w:r>
      <w:rPr>
        <w:noProof/>
      </w:rPr>
      <mc:AlternateContent>
        <mc:Choice Requires="wps">
          <w:drawing>
            <wp:anchor distT="0" distB="0" distL="114300" distR="114300" simplePos="0" relativeHeight="251665408" behindDoc="1" locked="0" layoutInCell="1" allowOverlap="1" wp14:anchorId="436BE206" wp14:editId="1CCADD18">
              <wp:simplePos x="0" y="0"/>
              <wp:positionH relativeFrom="page">
                <wp:align>center</wp:align>
              </wp:positionH>
              <wp:positionV relativeFrom="page">
                <wp:align>top</wp:align>
              </wp:positionV>
              <wp:extent cx="7560000" cy="10692000"/>
              <wp:effectExtent l="0" t="0" r="3175" b="0"/>
              <wp:wrapNone/>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10692000"/>
                      </a:xfrm>
                      <a:prstGeom prst="rect">
                        <a:avLst/>
                      </a:prstGeom>
                      <a:solidFill>
                        <a:srgbClr val="EFA26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80780" id="Rectangle 6" o:spid="_x0000_s1026" style="position:absolute;margin-left:0;margin-top:0;width:595.3pt;height:841.9pt;z-index:-25165107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YwfgIAAPYEAAAOAAAAZHJzL2Uyb0RvYy54bWysVE1v2zAMvQ/YfxB0X50EbdoadYogXYYB&#10;QVu0HXpmZNkWJomapHx0v36U7LRZt9MwHwRRpEi+p0dfXe+NZlvpg0Jb8fHJiDNpBdbKthX/9rT8&#10;dMFZiGBr0GhlxV9k4Nezjx+udq6UE+xQ19IzSmJDuXMV72J0ZVEE0UkD4QSdtORs0BuIZPq2qD3s&#10;KLvRxWQ0mhY79LXzKGQIdHrTO/ks528aKeJd0wQZma449Rbz6vO6Tmsxu4Ky9eA6JYY24B+6MKAs&#10;FX1NdQMR2MarP1IZJTwGbOKJQFNg0yghMwZCMx69Q/PYgZMZC5ET3CtN4f+lFbfbe89UXfEpZxYM&#10;PdEDkQa21ZJNEz07F0qKenT3PgEMboXie2AWFx1FyXlwFE9Pn2KL34KTEYZr+8abdJ0Qs32m/+WV&#10;frmPTNDh+dl0RB9ngnzj0fSSHji/UAHl4b7zIX6RaFjaVNxT7cw7bFchpg6gPITkblGreqm0zoZv&#10;1wvt2RZIDJ+X88m0b5pAHYdpy3ZUf3KeWwESZaMhUlfGEU3BtpyBbkntIvpc22KqkJWUat9A6Poa&#10;OW0vMaMi6VwrU/GLBPKAS9vUmcxKHRC80ZZ2a6xf6IU8ElqiJjixVFRkBSHegyet0iHNX7yjpdFI&#10;neOw46xD//Nv5ymeJEReznakfUL1YwNecqa/WhLX5fj0NA1LNk7Pzidk+GPP+thjN2aBxOg4d5e3&#10;KT7qw7bxaJ5pTOepKrnACqrd8zcYi9jPJA26kPN5DqMBcRBX9tGJlDzxlOh92j+Dd8P7R9LOLR7m&#10;BMp3Muhj002L803ERmWNvPE6SJaGK0tn+BGk6T22c9Tb72r2CwAA//8DAFBLAwQUAAYACAAAACEA&#10;TfyK2t0AAAAHAQAADwAAAGRycy9kb3ducmV2LnhtbEyPQU/DMAyF70j7D5EncWPphqhKaTpNQ+w0&#10;IVEQXLPGtGGNUzXpVv49Hhe4WM961nufi/XkOnHCIVhPCpaLBARS7Y2lRsHb69NNBiJETUZ3nlDB&#10;NwZYl7OrQufGn+kFT1VsBIdQyLWCNsY+lzLULTodFr5HYu/TD05HXodGmkGfOdx1cpUkqXTaEje0&#10;usdti/WxGp2C58pUu+N++vqQG7u3j2P/vsvulLqeT5sHEBGn+HcMF3xGh5KZDn4kE0SngB+Jv/Pi&#10;Le+TFMSBVZrdZiDLQv7nL38AAAD//wMAUEsBAi0AFAAGAAgAAAAhALaDOJL+AAAA4QEAABMAAAAA&#10;AAAAAAAAAAAAAAAAAFtDb250ZW50X1R5cGVzXS54bWxQSwECLQAUAAYACAAAACEAOP0h/9YAAACU&#10;AQAACwAAAAAAAAAAAAAAAAAvAQAAX3JlbHMvLnJlbHNQSwECLQAUAAYACAAAACEAyq8mMH4CAAD2&#10;BAAADgAAAAAAAAAAAAAAAAAuAgAAZHJzL2Uyb0RvYy54bWxQSwECLQAUAAYACAAAACEATfyK2t0A&#10;AAAHAQAADwAAAAAAAAAAAAAAAADYBAAAZHJzL2Rvd25yZXYueG1sUEsFBgAAAAAEAAQA8wAAAOIF&#10;AAAAAA==&#10;" fillcolor="#efa261" stroked="f" strokeweight="1pt">
              <v:path arrowok="t"/>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82C2C1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03D2F0D0"/>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6B9C9EBA"/>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D9AE756"/>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1D1E88C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6560B2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811622"/>
    <w:multiLevelType w:val="hybridMultilevel"/>
    <w:tmpl w:val="A27AB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9D118E"/>
    <w:multiLevelType w:val="multilevel"/>
    <w:tmpl w:val="92E26370"/>
    <w:styleLink w:val="Macquarienumberedlist"/>
    <w:lvl w:ilvl="0">
      <w:start w:val="1"/>
      <w:numFmt w:val="decimal"/>
      <w:lvlText w:val="%1."/>
      <w:lvlJc w:val="left"/>
      <w:pPr>
        <w:tabs>
          <w:tab w:val="num" w:pos="357"/>
        </w:tabs>
        <w:ind w:left="357" w:hanging="357"/>
      </w:pPr>
      <w:rPr>
        <w:rFonts w:hint="default"/>
        <w:color w:val="000000" w:themeColor="text1"/>
      </w:rPr>
    </w:lvl>
    <w:lvl w:ilvl="1">
      <w:start w:val="1"/>
      <w:numFmt w:val="decimal"/>
      <w:lvlText w:val="%1.%2"/>
      <w:lvlJc w:val="left"/>
      <w:pPr>
        <w:tabs>
          <w:tab w:val="num" w:pos="851"/>
        </w:tabs>
        <w:ind w:left="851" w:hanging="494"/>
      </w:pPr>
      <w:rPr>
        <w:rFonts w:hint="default"/>
      </w:rPr>
    </w:lvl>
    <w:lvl w:ilvl="2">
      <w:start w:val="1"/>
      <w:numFmt w:val="lowerRoman"/>
      <w:lvlText w:val="%1.%2.%3"/>
      <w:lvlJc w:val="left"/>
      <w:pPr>
        <w:tabs>
          <w:tab w:val="num" w:pos="1418"/>
        </w:tabs>
        <w:ind w:left="1418" w:hanging="567"/>
      </w:pPr>
      <w:rPr>
        <w:rFonts w:hint="default"/>
      </w:rPr>
    </w:lvl>
    <w:lvl w:ilvl="3">
      <w:start w:val="1"/>
      <w:numFmt w:val="decimal"/>
      <w:lvlText w:val="%4."/>
      <w:lvlJc w:val="left"/>
      <w:pPr>
        <w:ind w:left="4665" w:hanging="360"/>
      </w:pPr>
      <w:rPr>
        <w:rFonts w:hint="default"/>
      </w:rPr>
    </w:lvl>
    <w:lvl w:ilvl="4">
      <w:start w:val="1"/>
      <w:numFmt w:val="lowerLetter"/>
      <w:lvlText w:val="%5."/>
      <w:lvlJc w:val="left"/>
      <w:pPr>
        <w:ind w:left="5385" w:hanging="360"/>
      </w:pPr>
      <w:rPr>
        <w:rFonts w:hint="default"/>
      </w:rPr>
    </w:lvl>
    <w:lvl w:ilvl="5">
      <w:start w:val="1"/>
      <w:numFmt w:val="lowerRoman"/>
      <w:lvlText w:val="%6."/>
      <w:lvlJc w:val="right"/>
      <w:pPr>
        <w:ind w:left="6105" w:hanging="180"/>
      </w:pPr>
      <w:rPr>
        <w:rFonts w:hint="default"/>
      </w:rPr>
    </w:lvl>
    <w:lvl w:ilvl="6">
      <w:start w:val="1"/>
      <w:numFmt w:val="decimal"/>
      <w:lvlText w:val="%7."/>
      <w:lvlJc w:val="left"/>
      <w:pPr>
        <w:ind w:left="6825" w:hanging="360"/>
      </w:pPr>
      <w:rPr>
        <w:rFonts w:hint="default"/>
      </w:rPr>
    </w:lvl>
    <w:lvl w:ilvl="7">
      <w:start w:val="1"/>
      <w:numFmt w:val="lowerLetter"/>
      <w:lvlText w:val="%8."/>
      <w:lvlJc w:val="left"/>
      <w:pPr>
        <w:ind w:left="7545" w:hanging="360"/>
      </w:pPr>
      <w:rPr>
        <w:rFonts w:hint="default"/>
      </w:rPr>
    </w:lvl>
    <w:lvl w:ilvl="8">
      <w:start w:val="1"/>
      <w:numFmt w:val="lowerRoman"/>
      <w:lvlText w:val="%9."/>
      <w:lvlJc w:val="right"/>
      <w:pPr>
        <w:ind w:left="8265" w:hanging="180"/>
      </w:pPr>
      <w:rPr>
        <w:rFonts w:hint="default"/>
      </w:rPr>
    </w:lvl>
  </w:abstractNum>
  <w:abstractNum w:abstractNumId="8" w15:restartNumberingAfterBreak="0">
    <w:nsid w:val="27680491"/>
    <w:multiLevelType w:val="hybridMultilevel"/>
    <w:tmpl w:val="8F8800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91C563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2B7573"/>
    <w:multiLevelType w:val="multilevel"/>
    <w:tmpl w:val="E44A9E4C"/>
    <w:lvl w:ilvl="0">
      <w:start w:val="1"/>
      <w:numFmt w:val="decimal"/>
      <w:pStyle w:val="ListNumber"/>
      <w:lvlText w:val="%1."/>
      <w:lvlJc w:val="left"/>
      <w:pPr>
        <w:tabs>
          <w:tab w:val="num" w:pos="964"/>
        </w:tabs>
        <w:ind w:left="964" w:hanging="397"/>
      </w:pPr>
      <w:rPr>
        <w:rFonts w:hint="default"/>
      </w:rPr>
    </w:lvl>
    <w:lvl w:ilvl="1">
      <w:start w:val="1"/>
      <w:numFmt w:val="lowerLetter"/>
      <w:pStyle w:val="ListNumber2"/>
      <w:lvlText w:val="%2."/>
      <w:lvlJc w:val="left"/>
      <w:pPr>
        <w:tabs>
          <w:tab w:val="num" w:pos="1418"/>
        </w:tabs>
        <w:ind w:left="1418" w:hanging="397"/>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lvlText w:val="(%4)"/>
      <w:lvlJc w:val="left"/>
      <w:pPr>
        <w:tabs>
          <w:tab w:val="num" w:pos="2552"/>
        </w:tabs>
        <w:ind w:left="2552" w:hanging="28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B761ED"/>
    <w:multiLevelType w:val="multilevel"/>
    <w:tmpl w:val="57A4AD54"/>
    <w:lvl w:ilvl="0">
      <w:start w:val="1"/>
      <w:numFmt w:val="decimal"/>
      <w:lvlText w:val="%1."/>
      <w:lvlJc w:val="left"/>
      <w:pPr>
        <w:tabs>
          <w:tab w:val="num" w:pos="357"/>
        </w:tabs>
        <w:ind w:left="357" w:hanging="357"/>
      </w:pPr>
      <w:rPr>
        <w:rFonts w:hint="default"/>
        <w:color w:val="000000" w:themeColor="text1"/>
      </w:rPr>
    </w:lvl>
    <w:lvl w:ilvl="1">
      <w:start w:val="1"/>
      <w:numFmt w:val="decimal"/>
      <w:lvlText w:val="%1.%2"/>
      <w:lvlJc w:val="left"/>
      <w:pPr>
        <w:tabs>
          <w:tab w:val="num" w:pos="992"/>
        </w:tabs>
        <w:ind w:left="992" w:hanging="635"/>
      </w:pPr>
      <w:rPr>
        <w:rFonts w:hint="default"/>
      </w:rPr>
    </w:lvl>
    <w:lvl w:ilvl="2">
      <w:start w:val="1"/>
      <w:numFmt w:val="lowerRoman"/>
      <w:lvlText w:val="%1.%2.%3"/>
      <w:lvlJc w:val="left"/>
      <w:pPr>
        <w:tabs>
          <w:tab w:val="num" w:pos="1985"/>
        </w:tabs>
        <w:ind w:left="1985" w:hanging="993"/>
      </w:pPr>
      <w:rPr>
        <w:rFonts w:hint="default"/>
      </w:rPr>
    </w:lvl>
    <w:lvl w:ilvl="3">
      <w:start w:val="1"/>
      <w:numFmt w:val="decimal"/>
      <w:lvlText w:val="%4."/>
      <w:lvlJc w:val="left"/>
      <w:pPr>
        <w:ind w:left="4665" w:hanging="360"/>
      </w:pPr>
      <w:rPr>
        <w:rFonts w:hint="default"/>
      </w:rPr>
    </w:lvl>
    <w:lvl w:ilvl="4">
      <w:start w:val="1"/>
      <w:numFmt w:val="lowerLetter"/>
      <w:lvlText w:val="%5."/>
      <w:lvlJc w:val="left"/>
      <w:pPr>
        <w:ind w:left="5385" w:hanging="360"/>
      </w:pPr>
      <w:rPr>
        <w:rFonts w:hint="default"/>
      </w:rPr>
    </w:lvl>
    <w:lvl w:ilvl="5">
      <w:start w:val="1"/>
      <w:numFmt w:val="lowerRoman"/>
      <w:lvlText w:val="%6."/>
      <w:lvlJc w:val="right"/>
      <w:pPr>
        <w:ind w:left="6105" w:hanging="180"/>
      </w:pPr>
      <w:rPr>
        <w:rFonts w:hint="default"/>
      </w:rPr>
    </w:lvl>
    <w:lvl w:ilvl="6">
      <w:start w:val="1"/>
      <w:numFmt w:val="decimal"/>
      <w:lvlText w:val="%7."/>
      <w:lvlJc w:val="left"/>
      <w:pPr>
        <w:ind w:left="6825" w:hanging="360"/>
      </w:pPr>
      <w:rPr>
        <w:rFonts w:hint="default"/>
      </w:rPr>
    </w:lvl>
    <w:lvl w:ilvl="7">
      <w:start w:val="1"/>
      <w:numFmt w:val="lowerLetter"/>
      <w:lvlText w:val="%8."/>
      <w:lvlJc w:val="left"/>
      <w:pPr>
        <w:ind w:left="7545" w:hanging="360"/>
      </w:pPr>
      <w:rPr>
        <w:rFonts w:hint="default"/>
      </w:rPr>
    </w:lvl>
    <w:lvl w:ilvl="8">
      <w:start w:val="1"/>
      <w:numFmt w:val="lowerRoman"/>
      <w:lvlText w:val="%9."/>
      <w:lvlJc w:val="right"/>
      <w:pPr>
        <w:ind w:left="8265" w:hanging="180"/>
      </w:pPr>
      <w:rPr>
        <w:rFonts w:hint="default"/>
      </w:rPr>
    </w:lvl>
  </w:abstractNum>
  <w:abstractNum w:abstractNumId="12" w15:restartNumberingAfterBreak="0">
    <w:nsid w:val="3AE107A1"/>
    <w:multiLevelType w:val="hybridMultilevel"/>
    <w:tmpl w:val="B09A7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865191"/>
    <w:multiLevelType w:val="multilevel"/>
    <w:tmpl w:val="55E6A8E8"/>
    <w:lvl w:ilvl="0">
      <w:start w:val="1"/>
      <w:numFmt w:val="upperLetter"/>
      <w:pStyle w:val="List"/>
      <w:lvlText w:val="%1."/>
      <w:lvlJc w:val="left"/>
      <w:pPr>
        <w:tabs>
          <w:tab w:val="num" w:pos="964"/>
        </w:tabs>
        <w:ind w:left="964" w:hanging="397"/>
      </w:pPr>
      <w:rPr>
        <w:rFonts w:hint="default"/>
      </w:rPr>
    </w:lvl>
    <w:lvl w:ilvl="1">
      <w:start w:val="1"/>
      <w:numFmt w:val="lowerRoman"/>
      <w:pStyle w:val="List2"/>
      <w:lvlText w:val="%2."/>
      <w:lvlJc w:val="left"/>
      <w:pPr>
        <w:tabs>
          <w:tab w:val="num" w:pos="1418"/>
        </w:tabs>
        <w:ind w:left="1418" w:hanging="397"/>
      </w:pPr>
      <w:rPr>
        <w:rFonts w:hint="default"/>
      </w:rPr>
    </w:lvl>
    <w:lvl w:ilvl="2">
      <w:start w:val="1"/>
      <w:numFmt w:val="lowerLetter"/>
      <w:pStyle w:val="List3"/>
      <w:lvlText w:val="%3."/>
      <w:lvlJc w:val="right"/>
      <w:pPr>
        <w:tabs>
          <w:tab w:val="num" w:pos="1928"/>
        </w:tabs>
        <w:ind w:left="1928" w:hanging="340"/>
      </w:pPr>
      <w:rPr>
        <w:rFonts w:hint="default"/>
      </w:rPr>
    </w:lvl>
    <w:lvl w:ilvl="3">
      <w:start w:val="1"/>
      <w:numFmt w:val="decimal"/>
      <w:lvlText w:val="%4."/>
      <w:lvlJc w:val="left"/>
      <w:pPr>
        <w:tabs>
          <w:tab w:val="num" w:pos="1985"/>
        </w:tabs>
        <w:ind w:left="1985" w:hanging="284"/>
      </w:pPr>
      <w:rPr>
        <w:rFonts w:hint="default"/>
      </w:rPr>
    </w:lvl>
    <w:lvl w:ilvl="4">
      <w:start w:val="1"/>
      <w:numFmt w:val="lowerLetter"/>
      <w:lvlText w:val="%5."/>
      <w:lvlJc w:val="left"/>
      <w:pPr>
        <w:tabs>
          <w:tab w:val="num" w:pos="2552"/>
        </w:tabs>
        <w:ind w:left="2552" w:hanging="284"/>
      </w:pPr>
      <w:rPr>
        <w:rFonts w:hint="default"/>
      </w:rPr>
    </w:lvl>
    <w:lvl w:ilvl="5">
      <w:start w:val="1"/>
      <w:numFmt w:val="lowerRoman"/>
      <w:lvlText w:val="%6."/>
      <w:lvlJc w:val="right"/>
      <w:pPr>
        <w:tabs>
          <w:tab w:val="num" w:pos="3119"/>
        </w:tabs>
        <w:ind w:left="3119" w:hanging="284"/>
      </w:pPr>
      <w:rPr>
        <w:rFonts w:hint="default"/>
      </w:rPr>
    </w:lvl>
    <w:lvl w:ilvl="6">
      <w:start w:val="1"/>
      <w:numFmt w:val="decimal"/>
      <w:lvlText w:val="%7."/>
      <w:lvlJc w:val="left"/>
      <w:pPr>
        <w:tabs>
          <w:tab w:val="num" w:pos="3686"/>
        </w:tabs>
        <w:ind w:left="3686" w:hanging="284"/>
      </w:pPr>
      <w:rPr>
        <w:rFonts w:hint="default"/>
      </w:rPr>
    </w:lvl>
    <w:lvl w:ilvl="7">
      <w:start w:val="1"/>
      <w:numFmt w:val="lowerLetter"/>
      <w:lvlText w:val="%8."/>
      <w:lvlJc w:val="left"/>
      <w:pPr>
        <w:tabs>
          <w:tab w:val="num" w:pos="4253"/>
        </w:tabs>
        <w:ind w:left="4253" w:hanging="284"/>
      </w:pPr>
      <w:rPr>
        <w:rFonts w:hint="default"/>
      </w:rPr>
    </w:lvl>
    <w:lvl w:ilvl="8">
      <w:start w:val="1"/>
      <w:numFmt w:val="lowerRoman"/>
      <w:lvlText w:val="%9."/>
      <w:lvlJc w:val="right"/>
      <w:pPr>
        <w:tabs>
          <w:tab w:val="num" w:pos="4820"/>
        </w:tabs>
        <w:ind w:left="4820" w:hanging="284"/>
      </w:pPr>
      <w:rPr>
        <w:rFonts w:hint="default"/>
      </w:rPr>
    </w:lvl>
  </w:abstractNum>
  <w:abstractNum w:abstractNumId="14" w15:restartNumberingAfterBreak="0">
    <w:nsid w:val="51B978C2"/>
    <w:multiLevelType w:val="multilevel"/>
    <w:tmpl w:val="D00033C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5" w15:restartNumberingAfterBreak="0">
    <w:nsid w:val="591F4ED2"/>
    <w:multiLevelType w:val="hybridMultilevel"/>
    <w:tmpl w:val="46D4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44E2A"/>
    <w:multiLevelType w:val="hybridMultilevel"/>
    <w:tmpl w:val="DDD499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2C2029A"/>
    <w:multiLevelType w:val="multilevel"/>
    <w:tmpl w:val="1228D6C4"/>
    <w:lvl w:ilvl="0">
      <w:start w:val="1"/>
      <w:numFmt w:val="bullet"/>
      <w:pStyle w:val="ListBullet"/>
      <w:lvlText w:val=""/>
      <w:lvlJc w:val="left"/>
      <w:pPr>
        <w:tabs>
          <w:tab w:val="num" w:pos="964"/>
        </w:tabs>
        <w:ind w:left="964" w:hanging="397"/>
      </w:pPr>
      <w:rPr>
        <w:rFonts w:ascii="Symbol" w:hAnsi="Symbol" w:hint="default"/>
        <w:sz w:val="20"/>
        <w:szCs w:val="20"/>
      </w:rPr>
    </w:lvl>
    <w:lvl w:ilvl="1">
      <w:start w:val="1"/>
      <w:numFmt w:val="bullet"/>
      <w:lvlRestart w:val="0"/>
      <w:pStyle w:val="ListBullet2"/>
      <w:lvlText w:val=""/>
      <w:lvlJc w:val="left"/>
      <w:pPr>
        <w:tabs>
          <w:tab w:val="num" w:pos="1418"/>
        </w:tabs>
        <w:ind w:left="1418" w:hanging="397"/>
      </w:pPr>
      <w:rPr>
        <w:rFonts w:ascii="Symbol" w:hAnsi="Symbol" w:hint="default"/>
      </w:rPr>
    </w:lvl>
    <w:lvl w:ilvl="2">
      <w:start w:val="1"/>
      <w:numFmt w:val="bullet"/>
      <w:lvlRestart w:val="0"/>
      <w:pStyle w:val="ListBullet3"/>
      <w:lvlText w:val=""/>
      <w:lvlJc w:val="left"/>
      <w:pPr>
        <w:tabs>
          <w:tab w:val="num" w:pos="1928"/>
        </w:tabs>
        <w:ind w:left="1928" w:hanging="397"/>
      </w:pPr>
      <w:rPr>
        <w:rFonts w:ascii="Wingdings" w:hAnsi="Wingdings" w:hint="default"/>
      </w:rPr>
    </w:lvl>
    <w:lvl w:ilvl="3">
      <w:start w:val="1"/>
      <w:numFmt w:val="bullet"/>
      <w:lvlText w:val=""/>
      <w:lvlJc w:val="left"/>
      <w:pPr>
        <w:tabs>
          <w:tab w:val="num" w:pos="2552"/>
        </w:tabs>
        <w:ind w:left="2552" w:hanging="284"/>
      </w:pPr>
      <w:rPr>
        <w:rFonts w:ascii="Symbol" w:hAnsi="Symbol" w:hint="default"/>
      </w:rPr>
    </w:lvl>
    <w:lvl w:ilvl="4">
      <w:start w:val="1"/>
      <w:numFmt w:val="bullet"/>
      <w:lvlText w:val=""/>
      <w:lvlJc w:val="left"/>
      <w:pPr>
        <w:tabs>
          <w:tab w:val="num" w:pos="3119"/>
        </w:tabs>
        <w:ind w:left="3119" w:hanging="284"/>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1993EA9"/>
    <w:multiLevelType w:val="hybridMultilevel"/>
    <w:tmpl w:val="3E56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03144"/>
    <w:multiLevelType w:val="hybridMultilevel"/>
    <w:tmpl w:val="857E9D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B0A76C4"/>
    <w:multiLevelType w:val="hybridMultilevel"/>
    <w:tmpl w:val="0290A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4"/>
  </w:num>
  <w:num w:numId="4">
    <w:abstractNumId w:val="14"/>
  </w:num>
  <w:num w:numId="5">
    <w:abstractNumId w:val="14"/>
  </w:num>
  <w:num w:numId="6">
    <w:abstractNumId w:val="14"/>
  </w:num>
  <w:num w:numId="7">
    <w:abstractNumId w:val="13"/>
  </w:num>
  <w:num w:numId="8">
    <w:abstractNumId w:val="13"/>
  </w:num>
  <w:num w:numId="9">
    <w:abstractNumId w:val="13"/>
  </w:num>
  <w:num w:numId="10">
    <w:abstractNumId w:val="5"/>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7"/>
  </w:num>
  <w:num w:numId="26">
    <w:abstractNumId w:val="1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0"/>
  </w:num>
  <w:num w:numId="30">
    <w:abstractNumId w:val="18"/>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9"/>
  </w:num>
  <w:num w:numId="34">
    <w:abstractNumId w:val="16"/>
  </w:num>
  <w:num w:numId="35">
    <w:abstractNumId w:val="1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AF"/>
    <w:rsid w:val="00000829"/>
    <w:rsid w:val="000015A7"/>
    <w:rsid w:val="000035A2"/>
    <w:rsid w:val="00005D5D"/>
    <w:rsid w:val="00007A7F"/>
    <w:rsid w:val="00010D54"/>
    <w:rsid w:val="000121AE"/>
    <w:rsid w:val="00012231"/>
    <w:rsid w:val="0001278E"/>
    <w:rsid w:val="000203F4"/>
    <w:rsid w:val="00020A8D"/>
    <w:rsid w:val="0002131E"/>
    <w:rsid w:val="00023E08"/>
    <w:rsid w:val="0002420F"/>
    <w:rsid w:val="000250A5"/>
    <w:rsid w:val="0002547B"/>
    <w:rsid w:val="00025823"/>
    <w:rsid w:val="000304AC"/>
    <w:rsid w:val="00032DA2"/>
    <w:rsid w:val="0004131A"/>
    <w:rsid w:val="0004312C"/>
    <w:rsid w:val="00044C12"/>
    <w:rsid w:val="00052575"/>
    <w:rsid w:val="00055764"/>
    <w:rsid w:val="00055957"/>
    <w:rsid w:val="00056367"/>
    <w:rsid w:val="00056C33"/>
    <w:rsid w:val="00061023"/>
    <w:rsid w:val="00061852"/>
    <w:rsid w:val="00064278"/>
    <w:rsid w:val="00065BF2"/>
    <w:rsid w:val="00066A2E"/>
    <w:rsid w:val="00066E3D"/>
    <w:rsid w:val="00072022"/>
    <w:rsid w:val="00077616"/>
    <w:rsid w:val="00077C3C"/>
    <w:rsid w:val="0008125B"/>
    <w:rsid w:val="00090D3F"/>
    <w:rsid w:val="000914C5"/>
    <w:rsid w:val="000927D5"/>
    <w:rsid w:val="000939C5"/>
    <w:rsid w:val="000944C7"/>
    <w:rsid w:val="000944FC"/>
    <w:rsid w:val="00094CF9"/>
    <w:rsid w:val="00097AAC"/>
    <w:rsid w:val="000A0BD1"/>
    <w:rsid w:val="000A3AB3"/>
    <w:rsid w:val="000A5A0C"/>
    <w:rsid w:val="000A5FFC"/>
    <w:rsid w:val="000B1666"/>
    <w:rsid w:val="000B3E45"/>
    <w:rsid w:val="000B650A"/>
    <w:rsid w:val="000C150C"/>
    <w:rsid w:val="000C1BFB"/>
    <w:rsid w:val="000C2C82"/>
    <w:rsid w:val="000C5B0C"/>
    <w:rsid w:val="000C673B"/>
    <w:rsid w:val="000C73F5"/>
    <w:rsid w:val="000C77BC"/>
    <w:rsid w:val="000C7A09"/>
    <w:rsid w:val="000D1E41"/>
    <w:rsid w:val="000D1EF4"/>
    <w:rsid w:val="000D3180"/>
    <w:rsid w:val="000E0B1C"/>
    <w:rsid w:val="000E1367"/>
    <w:rsid w:val="000E365E"/>
    <w:rsid w:val="000F0149"/>
    <w:rsid w:val="000F1A0A"/>
    <w:rsid w:val="000F1D02"/>
    <w:rsid w:val="000F1D7C"/>
    <w:rsid w:val="000F1ED7"/>
    <w:rsid w:val="000F7AC3"/>
    <w:rsid w:val="000F7E06"/>
    <w:rsid w:val="0010689E"/>
    <w:rsid w:val="00107C5F"/>
    <w:rsid w:val="001128B1"/>
    <w:rsid w:val="00114449"/>
    <w:rsid w:val="00114486"/>
    <w:rsid w:val="0011624E"/>
    <w:rsid w:val="00120762"/>
    <w:rsid w:val="00121152"/>
    <w:rsid w:val="00121A0F"/>
    <w:rsid w:val="0012265E"/>
    <w:rsid w:val="0012345F"/>
    <w:rsid w:val="00123974"/>
    <w:rsid w:val="001255C3"/>
    <w:rsid w:val="00126C4C"/>
    <w:rsid w:val="001277B1"/>
    <w:rsid w:val="00130B5C"/>
    <w:rsid w:val="00131702"/>
    <w:rsid w:val="001319F4"/>
    <w:rsid w:val="0013333C"/>
    <w:rsid w:val="00133B12"/>
    <w:rsid w:val="00133FC5"/>
    <w:rsid w:val="00134A14"/>
    <w:rsid w:val="00140E97"/>
    <w:rsid w:val="0014113A"/>
    <w:rsid w:val="00141905"/>
    <w:rsid w:val="00143D28"/>
    <w:rsid w:val="00144707"/>
    <w:rsid w:val="00144FD1"/>
    <w:rsid w:val="0014583B"/>
    <w:rsid w:val="00146FE8"/>
    <w:rsid w:val="001478EC"/>
    <w:rsid w:val="0015049B"/>
    <w:rsid w:val="0015165C"/>
    <w:rsid w:val="00151D18"/>
    <w:rsid w:val="00153CB7"/>
    <w:rsid w:val="001553B4"/>
    <w:rsid w:val="00156161"/>
    <w:rsid w:val="0015704A"/>
    <w:rsid w:val="00157E5A"/>
    <w:rsid w:val="001619F8"/>
    <w:rsid w:val="001635B1"/>
    <w:rsid w:val="001713AC"/>
    <w:rsid w:val="0017171B"/>
    <w:rsid w:val="001759B1"/>
    <w:rsid w:val="00176B7F"/>
    <w:rsid w:val="00184AD1"/>
    <w:rsid w:val="00184B7E"/>
    <w:rsid w:val="00187FFD"/>
    <w:rsid w:val="0019202B"/>
    <w:rsid w:val="001921E4"/>
    <w:rsid w:val="00192593"/>
    <w:rsid w:val="00193D55"/>
    <w:rsid w:val="00194740"/>
    <w:rsid w:val="001948B7"/>
    <w:rsid w:val="001954AB"/>
    <w:rsid w:val="00195CFC"/>
    <w:rsid w:val="00197DBA"/>
    <w:rsid w:val="001A14F5"/>
    <w:rsid w:val="001A28E4"/>
    <w:rsid w:val="001A5C4D"/>
    <w:rsid w:val="001A5C7D"/>
    <w:rsid w:val="001B0043"/>
    <w:rsid w:val="001B06D5"/>
    <w:rsid w:val="001B3601"/>
    <w:rsid w:val="001B578B"/>
    <w:rsid w:val="001B57FD"/>
    <w:rsid w:val="001C00C8"/>
    <w:rsid w:val="001C047F"/>
    <w:rsid w:val="001C19C7"/>
    <w:rsid w:val="001C1DA9"/>
    <w:rsid w:val="001C31E0"/>
    <w:rsid w:val="001C3DAB"/>
    <w:rsid w:val="001C44F7"/>
    <w:rsid w:val="001C7A16"/>
    <w:rsid w:val="001D063A"/>
    <w:rsid w:val="001D0F80"/>
    <w:rsid w:val="001D4156"/>
    <w:rsid w:val="001D481F"/>
    <w:rsid w:val="001D6BFB"/>
    <w:rsid w:val="001D6CA7"/>
    <w:rsid w:val="001D7145"/>
    <w:rsid w:val="001E1742"/>
    <w:rsid w:val="001E1BC0"/>
    <w:rsid w:val="001E2D2B"/>
    <w:rsid w:val="001E35CE"/>
    <w:rsid w:val="001E37C8"/>
    <w:rsid w:val="001E3B50"/>
    <w:rsid w:val="001E3F8C"/>
    <w:rsid w:val="001E55CF"/>
    <w:rsid w:val="001E5D81"/>
    <w:rsid w:val="001F0B70"/>
    <w:rsid w:val="001F291F"/>
    <w:rsid w:val="001F56B3"/>
    <w:rsid w:val="001F5D22"/>
    <w:rsid w:val="0020009A"/>
    <w:rsid w:val="0020107B"/>
    <w:rsid w:val="00202897"/>
    <w:rsid w:val="00203E6E"/>
    <w:rsid w:val="0020493C"/>
    <w:rsid w:val="0020671C"/>
    <w:rsid w:val="00210B91"/>
    <w:rsid w:val="002128C8"/>
    <w:rsid w:val="002128DA"/>
    <w:rsid w:val="00215E5C"/>
    <w:rsid w:val="00220BE0"/>
    <w:rsid w:val="00221067"/>
    <w:rsid w:val="002213CE"/>
    <w:rsid w:val="00223D99"/>
    <w:rsid w:val="00224E15"/>
    <w:rsid w:val="00226755"/>
    <w:rsid w:val="002341A1"/>
    <w:rsid w:val="00234D20"/>
    <w:rsid w:val="00234D6B"/>
    <w:rsid w:val="0023632C"/>
    <w:rsid w:val="0023685F"/>
    <w:rsid w:val="00237692"/>
    <w:rsid w:val="002445AF"/>
    <w:rsid w:val="002458B7"/>
    <w:rsid w:val="00250E9F"/>
    <w:rsid w:val="00251E8F"/>
    <w:rsid w:val="002529A4"/>
    <w:rsid w:val="00260D62"/>
    <w:rsid w:val="00264B2F"/>
    <w:rsid w:val="00265D52"/>
    <w:rsid w:val="0026632B"/>
    <w:rsid w:val="002663E0"/>
    <w:rsid w:val="00267851"/>
    <w:rsid w:val="00270539"/>
    <w:rsid w:val="0027057A"/>
    <w:rsid w:val="00270C90"/>
    <w:rsid w:val="00274352"/>
    <w:rsid w:val="00275646"/>
    <w:rsid w:val="00276959"/>
    <w:rsid w:val="00276D2B"/>
    <w:rsid w:val="00280D77"/>
    <w:rsid w:val="00283565"/>
    <w:rsid w:val="00283AFA"/>
    <w:rsid w:val="002869B0"/>
    <w:rsid w:val="00286FB6"/>
    <w:rsid w:val="00287E2C"/>
    <w:rsid w:val="00287E6B"/>
    <w:rsid w:val="0029061C"/>
    <w:rsid w:val="00292CF3"/>
    <w:rsid w:val="002954B5"/>
    <w:rsid w:val="00295D46"/>
    <w:rsid w:val="00296378"/>
    <w:rsid w:val="002A6755"/>
    <w:rsid w:val="002B062A"/>
    <w:rsid w:val="002B07CB"/>
    <w:rsid w:val="002B105C"/>
    <w:rsid w:val="002B7CC5"/>
    <w:rsid w:val="002C12B9"/>
    <w:rsid w:val="002C1354"/>
    <w:rsid w:val="002C2A94"/>
    <w:rsid w:val="002C3781"/>
    <w:rsid w:val="002C3892"/>
    <w:rsid w:val="002C6BCC"/>
    <w:rsid w:val="002D0718"/>
    <w:rsid w:val="002D1372"/>
    <w:rsid w:val="002D16A3"/>
    <w:rsid w:val="002D1F1C"/>
    <w:rsid w:val="002D2700"/>
    <w:rsid w:val="002D7B92"/>
    <w:rsid w:val="002D7E83"/>
    <w:rsid w:val="002D7EA6"/>
    <w:rsid w:val="002E0EF9"/>
    <w:rsid w:val="002E1104"/>
    <w:rsid w:val="002E1354"/>
    <w:rsid w:val="002E290F"/>
    <w:rsid w:val="002E4E65"/>
    <w:rsid w:val="002E5391"/>
    <w:rsid w:val="002E6EE5"/>
    <w:rsid w:val="002F16F6"/>
    <w:rsid w:val="002F3CDE"/>
    <w:rsid w:val="002F6790"/>
    <w:rsid w:val="00300D8F"/>
    <w:rsid w:val="003014CF"/>
    <w:rsid w:val="0030158F"/>
    <w:rsid w:val="00302626"/>
    <w:rsid w:val="003034CE"/>
    <w:rsid w:val="003040A7"/>
    <w:rsid w:val="00304ABE"/>
    <w:rsid w:val="00306314"/>
    <w:rsid w:val="00311D10"/>
    <w:rsid w:val="00313931"/>
    <w:rsid w:val="00316104"/>
    <w:rsid w:val="00316DA6"/>
    <w:rsid w:val="00321A6F"/>
    <w:rsid w:val="00322F7E"/>
    <w:rsid w:val="00323201"/>
    <w:rsid w:val="0032519E"/>
    <w:rsid w:val="003267A3"/>
    <w:rsid w:val="003276EB"/>
    <w:rsid w:val="00331D42"/>
    <w:rsid w:val="003321EA"/>
    <w:rsid w:val="003329A1"/>
    <w:rsid w:val="003341F9"/>
    <w:rsid w:val="003351C0"/>
    <w:rsid w:val="00336603"/>
    <w:rsid w:val="00337519"/>
    <w:rsid w:val="00337C4B"/>
    <w:rsid w:val="00341E70"/>
    <w:rsid w:val="00341FC9"/>
    <w:rsid w:val="003440C0"/>
    <w:rsid w:val="00344B9E"/>
    <w:rsid w:val="00345B81"/>
    <w:rsid w:val="00353FA5"/>
    <w:rsid w:val="003573B3"/>
    <w:rsid w:val="00360397"/>
    <w:rsid w:val="0036392D"/>
    <w:rsid w:val="00370EEC"/>
    <w:rsid w:val="0037273E"/>
    <w:rsid w:val="00373013"/>
    <w:rsid w:val="00374323"/>
    <w:rsid w:val="003756BA"/>
    <w:rsid w:val="0037797D"/>
    <w:rsid w:val="003829D7"/>
    <w:rsid w:val="00384293"/>
    <w:rsid w:val="003845EC"/>
    <w:rsid w:val="0038480C"/>
    <w:rsid w:val="00392E41"/>
    <w:rsid w:val="003931AA"/>
    <w:rsid w:val="0039444D"/>
    <w:rsid w:val="00394F22"/>
    <w:rsid w:val="0039586C"/>
    <w:rsid w:val="00397BA6"/>
    <w:rsid w:val="003A46C8"/>
    <w:rsid w:val="003A57F1"/>
    <w:rsid w:val="003A5A15"/>
    <w:rsid w:val="003B06F0"/>
    <w:rsid w:val="003B0E08"/>
    <w:rsid w:val="003B19F8"/>
    <w:rsid w:val="003B28CB"/>
    <w:rsid w:val="003B33CF"/>
    <w:rsid w:val="003B673B"/>
    <w:rsid w:val="003B7601"/>
    <w:rsid w:val="003C2232"/>
    <w:rsid w:val="003C22B8"/>
    <w:rsid w:val="003C3DC5"/>
    <w:rsid w:val="003D0C8C"/>
    <w:rsid w:val="003D5419"/>
    <w:rsid w:val="003D6924"/>
    <w:rsid w:val="003E0B9C"/>
    <w:rsid w:val="003E15D5"/>
    <w:rsid w:val="003E23F4"/>
    <w:rsid w:val="003E2F11"/>
    <w:rsid w:val="003E3632"/>
    <w:rsid w:val="003E42F3"/>
    <w:rsid w:val="003E6608"/>
    <w:rsid w:val="003F0533"/>
    <w:rsid w:val="003F2FE7"/>
    <w:rsid w:val="003F4438"/>
    <w:rsid w:val="003F7B30"/>
    <w:rsid w:val="00403E16"/>
    <w:rsid w:val="00404B3F"/>
    <w:rsid w:val="00405453"/>
    <w:rsid w:val="00406B84"/>
    <w:rsid w:val="00407701"/>
    <w:rsid w:val="0041204E"/>
    <w:rsid w:val="004120E3"/>
    <w:rsid w:val="00413703"/>
    <w:rsid w:val="004155FC"/>
    <w:rsid w:val="004166A9"/>
    <w:rsid w:val="004171D7"/>
    <w:rsid w:val="00417BEF"/>
    <w:rsid w:val="004228D0"/>
    <w:rsid w:val="00422CDC"/>
    <w:rsid w:val="0042366B"/>
    <w:rsid w:val="00423C64"/>
    <w:rsid w:val="0042535B"/>
    <w:rsid w:val="00426266"/>
    <w:rsid w:val="00431119"/>
    <w:rsid w:val="0043346C"/>
    <w:rsid w:val="00433BE2"/>
    <w:rsid w:val="00436D5F"/>
    <w:rsid w:val="00436E2F"/>
    <w:rsid w:val="00440CED"/>
    <w:rsid w:val="0044264E"/>
    <w:rsid w:val="00444ED8"/>
    <w:rsid w:val="0044541A"/>
    <w:rsid w:val="0044665D"/>
    <w:rsid w:val="0044712D"/>
    <w:rsid w:val="0045070B"/>
    <w:rsid w:val="00450EA1"/>
    <w:rsid w:val="00453413"/>
    <w:rsid w:val="00453604"/>
    <w:rsid w:val="00453EA8"/>
    <w:rsid w:val="00453F52"/>
    <w:rsid w:val="00456469"/>
    <w:rsid w:val="00457274"/>
    <w:rsid w:val="00462C0B"/>
    <w:rsid w:val="00466080"/>
    <w:rsid w:val="00466116"/>
    <w:rsid w:val="004706FE"/>
    <w:rsid w:val="00470E1C"/>
    <w:rsid w:val="00471625"/>
    <w:rsid w:val="004717D9"/>
    <w:rsid w:val="00472CE4"/>
    <w:rsid w:val="00475C14"/>
    <w:rsid w:val="004773A5"/>
    <w:rsid w:val="004776D9"/>
    <w:rsid w:val="00481280"/>
    <w:rsid w:val="00482967"/>
    <w:rsid w:val="00483D8B"/>
    <w:rsid w:val="00485006"/>
    <w:rsid w:val="00485475"/>
    <w:rsid w:val="00486CF8"/>
    <w:rsid w:val="00486D1A"/>
    <w:rsid w:val="00490B21"/>
    <w:rsid w:val="00490E08"/>
    <w:rsid w:val="004950B0"/>
    <w:rsid w:val="00495FB2"/>
    <w:rsid w:val="00497DB6"/>
    <w:rsid w:val="004A0DCF"/>
    <w:rsid w:val="004A1E20"/>
    <w:rsid w:val="004A3E31"/>
    <w:rsid w:val="004A6358"/>
    <w:rsid w:val="004A6EF5"/>
    <w:rsid w:val="004B06BC"/>
    <w:rsid w:val="004B1963"/>
    <w:rsid w:val="004B34E6"/>
    <w:rsid w:val="004B74E5"/>
    <w:rsid w:val="004B7566"/>
    <w:rsid w:val="004C1D13"/>
    <w:rsid w:val="004C6456"/>
    <w:rsid w:val="004D12A8"/>
    <w:rsid w:val="004D230F"/>
    <w:rsid w:val="004D3F79"/>
    <w:rsid w:val="004D42CB"/>
    <w:rsid w:val="004E07BB"/>
    <w:rsid w:val="004E15FB"/>
    <w:rsid w:val="004E16FB"/>
    <w:rsid w:val="004E34F0"/>
    <w:rsid w:val="004E424D"/>
    <w:rsid w:val="004E5451"/>
    <w:rsid w:val="004E6685"/>
    <w:rsid w:val="004F000E"/>
    <w:rsid w:val="004F4CAA"/>
    <w:rsid w:val="004F4E77"/>
    <w:rsid w:val="004F7BA5"/>
    <w:rsid w:val="004F7D4A"/>
    <w:rsid w:val="004F7FD6"/>
    <w:rsid w:val="00500C95"/>
    <w:rsid w:val="00501B2D"/>
    <w:rsid w:val="0050259F"/>
    <w:rsid w:val="0050496F"/>
    <w:rsid w:val="0050739C"/>
    <w:rsid w:val="0050771A"/>
    <w:rsid w:val="00507731"/>
    <w:rsid w:val="00512EB3"/>
    <w:rsid w:val="005135D9"/>
    <w:rsid w:val="00514B0D"/>
    <w:rsid w:val="0051573E"/>
    <w:rsid w:val="00515E2F"/>
    <w:rsid w:val="005168E3"/>
    <w:rsid w:val="00517B04"/>
    <w:rsid w:val="005219C3"/>
    <w:rsid w:val="0052357A"/>
    <w:rsid w:val="0052485C"/>
    <w:rsid w:val="00524DBA"/>
    <w:rsid w:val="0052513B"/>
    <w:rsid w:val="00525671"/>
    <w:rsid w:val="00527647"/>
    <w:rsid w:val="00533C1A"/>
    <w:rsid w:val="00534AFB"/>
    <w:rsid w:val="00537577"/>
    <w:rsid w:val="005407DB"/>
    <w:rsid w:val="005433EA"/>
    <w:rsid w:val="00545C6C"/>
    <w:rsid w:val="00545EA5"/>
    <w:rsid w:val="0054660B"/>
    <w:rsid w:val="00550026"/>
    <w:rsid w:val="00555AD5"/>
    <w:rsid w:val="00557D27"/>
    <w:rsid w:val="00557F15"/>
    <w:rsid w:val="00560297"/>
    <w:rsid w:val="0056367A"/>
    <w:rsid w:val="005639CC"/>
    <w:rsid w:val="00564AC1"/>
    <w:rsid w:val="00564DB7"/>
    <w:rsid w:val="00570047"/>
    <w:rsid w:val="005705C5"/>
    <w:rsid w:val="00570BE6"/>
    <w:rsid w:val="00570DE8"/>
    <w:rsid w:val="00571248"/>
    <w:rsid w:val="0057327E"/>
    <w:rsid w:val="005733DF"/>
    <w:rsid w:val="00573B71"/>
    <w:rsid w:val="00574118"/>
    <w:rsid w:val="005741A8"/>
    <w:rsid w:val="00575234"/>
    <w:rsid w:val="0057583E"/>
    <w:rsid w:val="00577FE2"/>
    <w:rsid w:val="00580481"/>
    <w:rsid w:val="00585C3B"/>
    <w:rsid w:val="005864ED"/>
    <w:rsid w:val="00586D12"/>
    <w:rsid w:val="00587AE5"/>
    <w:rsid w:val="00587B06"/>
    <w:rsid w:val="00590137"/>
    <w:rsid w:val="005906CB"/>
    <w:rsid w:val="00591607"/>
    <w:rsid w:val="00594C0C"/>
    <w:rsid w:val="00595948"/>
    <w:rsid w:val="00595B9B"/>
    <w:rsid w:val="00595FE0"/>
    <w:rsid w:val="005974E1"/>
    <w:rsid w:val="005A252C"/>
    <w:rsid w:val="005A33EB"/>
    <w:rsid w:val="005A37E2"/>
    <w:rsid w:val="005A3C5C"/>
    <w:rsid w:val="005A41EC"/>
    <w:rsid w:val="005B3B44"/>
    <w:rsid w:val="005B4554"/>
    <w:rsid w:val="005C008E"/>
    <w:rsid w:val="005C095C"/>
    <w:rsid w:val="005C15E1"/>
    <w:rsid w:val="005C441D"/>
    <w:rsid w:val="005C54E9"/>
    <w:rsid w:val="005C610A"/>
    <w:rsid w:val="005D1526"/>
    <w:rsid w:val="005D15F5"/>
    <w:rsid w:val="005D1CFF"/>
    <w:rsid w:val="005D2D3E"/>
    <w:rsid w:val="005D4F53"/>
    <w:rsid w:val="005D5582"/>
    <w:rsid w:val="005D5CCF"/>
    <w:rsid w:val="005D6482"/>
    <w:rsid w:val="005D7649"/>
    <w:rsid w:val="005D7C7E"/>
    <w:rsid w:val="005E0830"/>
    <w:rsid w:val="005E13D4"/>
    <w:rsid w:val="005E34F3"/>
    <w:rsid w:val="005E4D29"/>
    <w:rsid w:val="005E5D21"/>
    <w:rsid w:val="005E5E04"/>
    <w:rsid w:val="005E5FFC"/>
    <w:rsid w:val="005E5FFE"/>
    <w:rsid w:val="005E6433"/>
    <w:rsid w:val="005E7427"/>
    <w:rsid w:val="005E7783"/>
    <w:rsid w:val="005F1339"/>
    <w:rsid w:val="005F3B1B"/>
    <w:rsid w:val="005F4E6F"/>
    <w:rsid w:val="005F5A9E"/>
    <w:rsid w:val="00602A0B"/>
    <w:rsid w:val="00606E8F"/>
    <w:rsid w:val="00610B0A"/>
    <w:rsid w:val="00614AEB"/>
    <w:rsid w:val="00617229"/>
    <w:rsid w:val="00617B77"/>
    <w:rsid w:val="006203AF"/>
    <w:rsid w:val="00621432"/>
    <w:rsid w:val="00621B07"/>
    <w:rsid w:val="00622AA8"/>
    <w:rsid w:val="00623194"/>
    <w:rsid w:val="0062393E"/>
    <w:rsid w:val="006243A8"/>
    <w:rsid w:val="00624538"/>
    <w:rsid w:val="00624796"/>
    <w:rsid w:val="0062589F"/>
    <w:rsid w:val="00625E20"/>
    <w:rsid w:val="006266CF"/>
    <w:rsid w:val="0063063C"/>
    <w:rsid w:val="006307F4"/>
    <w:rsid w:val="00631854"/>
    <w:rsid w:val="00634BFB"/>
    <w:rsid w:val="00635E69"/>
    <w:rsid w:val="00636052"/>
    <w:rsid w:val="006418DD"/>
    <w:rsid w:val="006429F1"/>
    <w:rsid w:val="00642BA8"/>
    <w:rsid w:val="00642FAD"/>
    <w:rsid w:val="006434CD"/>
    <w:rsid w:val="00643DC0"/>
    <w:rsid w:val="0064680A"/>
    <w:rsid w:val="006520AA"/>
    <w:rsid w:val="00652813"/>
    <w:rsid w:val="00653F42"/>
    <w:rsid w:val="00654874"/>
    <w:rsid w:val="00655AC1"/>
    <w:rsid w:val="00662F0A"/>
    <w:rsid w:val="0066333E"/>
    <w:rsid w:val="00663777"/>
    <w:rsid w:val="00664027"/>
    <w:rsid w:val="00666A66"/>
    <w:rsid w:val="006703B1"/>
    <w:rsid w:val="00670764"/>
    <w:rsid w:val="00670B6A"/>
    <w:rsid w:val="0067563F"/>
    <w:rsid w:val="00675ED6"/>
    <w:rsid w:val="00676516"/>
    <w:rsid w:val="006769D0"/>
    <w:rsid w:val="00677A1A"/>
    <w:rsid w:val="00685743"/>
    <w:rsid w:val="00687503"/>
    <w:rsid w:val="00690635"/>
    <w:rsid w:val="00691172"/>
    <w:rsid w:val="006919E6"/>
    <w:rsid w:val="00693810"/>
    <w:rsid w:val="00694725"/>
    <w:rsid w:val="00694850"/>
    <w:rsid w:val="00694D4B"/>
    <w:rsid w:val="00694FDA"/>
    <w:rsid w:val="00697A70"/>
    <w:rsid w:val="00697FA7"/>
    <w:rsid w:val="006A0643"/>
    <w:rsid w:val="006A11CE"/>
    <w:rsid w:val="006A3065"/>
    <w:rsid w:val="006A346C"/>
    <w:rsid w:val="006B03DB"/>
    <w:rsid w:val="006B11E3"/>
    <w:rsid w:val="006B2B0B"/>
    <w:rsid w:val="006B47D0"/>
    <w:rsid w:val="006B5296"/>
    <w:rsid w:val="006B5939"/>
    <w:rsid w:val="006B7A9F"/>
    <w:rsid w:val="006C0BEF"/>
    <w:rsid w:val="006C395C"/>
    <w:rsid w:val="006C7467"/>
    <w:rsid w:val="006D05E9"/>
    <w:rsid w:val="006D0B50"/>
    <w:rsid w:val="006D0E6B"/>
    <w:rsid w:val="006D1F2A"/>
    <w:rsid w:val="006D28A3"/>
    <w:rsid w:val="006D3785"/>
    <w:rsid w:val="006D7C41"/>
    <w:rsid w:val="006E288B"/>
    <w:rsid w:val="006E2B9D"/>
    <w:rsid w:val="006E33FF"/>
    <w:rsid w:val="006E3460"/>
    <w:rsid w:val="006E3892"/>
    <w:rsid w:val="006E39B3"/>
    <w:rsid w:val="006E3D72"/>
    <w:rsid w:val="006E3E79"/>
    <w:rsid w:val="006E6D68"/>
    <w:rsid w:val="006F19F3"/>
    <w:rsid w:val="006F1E1D"/>
    <w:rsid w:val="006F57B4"/>
    <w:rsid w:val="006F6660"/>
    <w:rsid w:val="007009E6"/>
    <w:rsid w:val="00700BC1"/>
    <w:rsid w:val="0070383B"/>
    <w:rsid w:val="007038A2"/>
    <w:rsid w:val="00704375"/>
    <w:rsid w:val="007047EF"/>
    <w:rsid w:val="0070574F"/>
    <w:rsid w:val="00707DEC"/>
    <w:rsid w:val="00710370"/>
    <w:rsid w:val="0071079C"/>
    <w:rsid w:val="0071111A"/>
    <w:rsid w:val="007113AA"/>
    <w:rsid w:val="007129A2"/>
    <w:rsid w:val="00713107"/>
    <w:rsid w:val="00713A90"/>
    <w:rsid w:val="00714D88"/>
    <w:rsid w:val="00715AB4"/>
    <w:rsid w:val="0071713A"/>
    <w:rsid w:val="00721993"/>
    <w:rsid w:val="0073179F"/>
    <w:rsid w:val="00732C28"/>
    <w:rsid w:val="0073450D"/>
    <w:rsid w:val="007358E6"/>
    <w:rsid w:val="00737563"/>
    <w:rsid w:val="007375E9"/>
    <w:rsid w:val="00737861"/>
    <w:rsid w:val="0074331B"/>
    <w:rsid w:val="00743935"/>
    <w:rsid w:val="00745639"/>
    <w:rsid w:val="00746EA1"/>
    <w:rsid w:val="00747EEB"/>
    <w:rsid w:val="00754403"/>
    <w:rsid w:val="007558BC"/>
    <w:rsid w:val="00755EE3"/>
    <w:rsid w:val="007566E9"/>
    <w:rsid w:val="00760BEE"/>
    <w:rsid w:val="007627BD"/>
    <w:rsid w:val="007637D0"/>
    <w:rsid w:val="00765994"/>
    <w:rsid w:val="00765A4F"/>
    <w:rsid w:val="00770B21"/>
    <w:rsid w:val="00771EE5"/>
    <w:rsid w:val="00777352"/>
    <w:rsid w:val="00780AAE"/>
    <w:rsid w:val="00782522"/>
    <w:rsid w:val="00783300"/>
    <w:rsid w:val="00783FF9"/>
    <w:rsid w:val="00784835"/>
    <w:rsid w:val="00785729"/>
    <w:rsid w:val="007857DE"/>
    <w:rsid w:val="00787B4A"/>
    <w:rsid w:val="00787F3E"/>
    <w:rsid w:val="0079219D"/>
    <w:rsid w:val="007923BA"/>
    <w:rsid w:val="00792F19"/>
    <w:rsid w:val="0079399E"/>
    <w:rsid w:val="00794438"/>
    <w:rsid w:val="00795BA4"/>
    <w:rsid w:val="007A0CD7"/>
    <w:rsid w:val="007A1324"/>
    <w:rsid w:val="007A3CA7"/>
    <w:rsid w:val="007A3E9F"/>
    <w:rsid w:val="007A4BDA"/>
    <w:rsid w:val="007A64D0"/>
    <w:rsid w:val="007A7E67"/>
    <w:rsid w:val="007B05AC"/>
    <w:rsid w:val="007B0AB3"/>
    <w:rsid w:val="007B1708"/>
    <w:rsid w:val="007B1950"/>
    <w:rsid w:val="007B44DD"/>
    <w:rsid w:val="007B50EA"/>
    <w:rsid w:val="007B5375"/>
    <w:rsid w:val="007B6816"/>
    <w:rsid w:val="007B724D"/>
    <w:rsid w:val="007C062E"/>
    <w:rsid w:val="007C0D85"/>
    <w:rsid w:val="007C1B91"/>
    <w:rsid w:val="007C1E41"/>
    <w:rsid w:val="007C3DDB"/>
    <w:rsid w:val="007C6A78"/>
    <w:rsid w:val="007C71E1"/>
    <w:rsid w:val="007D0C93"/>
    <w:rsid w:val="007D1E08"/>
    <w:rsid w:val="007D29EF"/>
    <w:rsid w:val="007D398E"/>
    <w:rsid w:val="007E0173"/>
    <w:rsid w:val="007E022D"/>
    <w:rsid w:val="007E065B"/>
    <w:rsid w:val="007E0D62"/>
    <w:rsid w:val="007E0F76"/>
    <w:rsid w:val="007E2249"/>
    <w:rsid w:val="007E23B3"/>
    <w:rsid w:val="007E35FB"/>
    <w:rsid w:val="007E365F"/>
    <w:rsid w:val="007E39BC"/>
    <w:rsid w:val="007E4249"/>
    <w:rsid w:val="007E44BF"/>
    <w:rsid w:val="007E4E08"/>
    <w:rsid w:val="007F03E3"/>
    <w:rsid w:val="007F0402"/>
    <w:rsid w:val="007F1731"/>
    <w:rsid w:val="007F1B96"/>
    <w:rsid w:val="007F67A1"/>
    <w:rsid w:val="007F6EBE"/>
    <w:rsid w:val="007F7210"/>
    <w:rsid w:val="007F7F4D"/>
    <w:rsid w:val="00801771"/>
    <w:rsid w:val="00801960"/>
    <w:rsid w:val="008024E2"/>
    <w:rsid w:val="00804082"/>
    <w:rsid w:val="00804151"/>
    <w:rsid w:val="00810A2E"/>
    <w:rsid w:val="00811345"/>
    <w:rsid w:val="00811BD9"/>
    <w:rsid w:val="008139B5"/>
    <w:rsid w:val="00813D65"/>
    <w:rsid w:val="00817504"/>
    <w:rsid w:val="00817BC9"/>
    <w:rsid w:val="00817FA8"/>
    <w:rsid w:val="00822342"/>
    <w:rsid w:val="00823A4C"/>
    <w:rsid w:val="00824615"/>
    <w:rsid w:val="00827A10"/>
    <w:rsid w:val="008309D6"/>
    <w:rsid w:val="00832E29"/>
    <w:rsid w:val="008343CA"/>
    <w:rsid w:val="00836947"/>
    <w:rsid w:val="00837B13"/>
    <w:rsid w:val="00840424"/>
    <w:rsid w:val="00841C58"/>
    <w:rsid w:val="00843570"/>
    <w:rsid w:val="008443E7"/>
    <w:rsid w:val="00846D7C"/>
    <w:rsid w:val="00847B3B"/>
    <w:rsid w:val="00850BC7"/>
    <w:rsid w:val="008523B5"/>
    <w:rsid w:val="00854E22"/>
    <w:rsid w:val="00856C6C"/>
    <w:rsid w:val="00856E10"/>
    <w:rsid w:val="00857E28"/>
    <w:rsid w:val="00860193"/>
    <w:rsid w:val="008602A1"/>
    <w:rsid w:val="00860A3F"/>
    <w:rsid w:val="00862F18"/>
    <w:rsid w:val="008637E8"/>
    <w:rsid w:val="00864319"/>
    <w:rsid w:val="00865111"/>
    <w:rsid w:val="00870CAB"/>
    <w:rsid w:val="00872013"/>
    <w:rsid w:val="00873E8B"/>
    <w:rsid w:val="00875059"/>
    <w:rsid w:val="00875C3D"/>
    <w:rsid w:val="00877969"/>
    <w:rsid w:val="0088014A"/>
    <w:rsid w:val="00881E33"/>
    <w:rsid w:val="00882777"/>
    <w:rsid w:val="00882976"/>
    <w:rsid w:val="00883FC8"/>
    <w:rsid w:val="008846A9"/>
    <w:rsid w:val="0088572B"/>
    <w:rsid w:val="00887933"/>
    <w:rsid w:val="00887C86"/>
    <w:rsid w:val="0089255A"/>
    <w:rsid w:val="0089286D"/>
    <w:rsid w:val="00893B73"/>
    <w:rsid w:val="00896426"/>
    <w:rsid w:val="00897E3B"/>
    <w:rsid w:val="008A063A"/>
    <w:rsid w:val="008A12B1"/>
    <w:rsid w:val="008A235A"/>
    <w:rsid w:val="008A46E3"/>
    <w:rsid w:val="008A583E"/>
    <w:rsid w:val="008B32B1"/>
    <w:rsid w:val="008B48A0"/>
    <w:rsid w:val="008B783F"/>
    <w:rsid w:val="008B7A07"/>
    <w:rsid w:val="008B7D07"/>
    <w:rsid w:val="008C0984"/>
    <w:rsid w:val="008C3B5A"/>
    <w:rsid w:val="008C4C2F"/>
    <w:rsid w:val="008C57AA"/>
    <w:rsid w:val="008C58DF"/>
    <w:rsid w:val="008C5FF3"/>
    <w:rsid w:val="008C6F93"/>
    <w:rsid w:val="008C6FB4"/>
    <w:rsid w:val="008D1D1B"/>
    <w:rsid w:val="008D2C1B"/>
    <w:rsid w:val="008D37AD"/>
    <w:rsid w:val="008D3F12"/>
    <w:rsid w:val="008D54E1"/>
    <w:rsid w:val="008D657E"/>
    <w:rsid w:val="008D70D8"/>
    <w:rsid w:val="008E1F04"/>
    <w:rsid w:val="008E2357"/>
    <w:rsid w:val="008E525C"/>
    <w:rsid w:val="008F344B"/>
    <w:rsid w:val="008F4944"/>
    <w:rsid w:val="008F5703"/>
    <w:rsid w:val="008F71EE"/>
    <w:rsid w:val="008F7692"/>
    <w:rsid w:val="008F7F3A"/>
    <w:rsid w:val="00900E0B"/>
    <w:rsid w:val="00901F6B"/>
    <w:rsid w:val="00902980"/>
    <w:rsid w:val="009051D7"/>
    <w:rsid w:val="0090748C"/>
    <w:rsid w:val="009133DA"/>
    <w:rsid w:val="00913F55"/>
    <w:rsid w:val="00915F90"/>
    <w:rsid w:val="009176AA"/>
    <w:rsid w:val="00920BCF"/>
    <w:rsid w:val="00920D26"/>
    <w:rsid w:val="0092283E"/>
    <w:rsid w:val="00923446"/>
    <w:rsid w:val="00925CC4"/>
    <w:rsid w:val="00926719"/>
    <w:rsid w:val="00927146"/>
    <w:rsid w:val="009344B9"/>
    <w:rsid w:val="00934B7E"/>
    <w:rsid w:val="00936C57"/>
    <w:rsid w:val="00937C39"/>
    <w:rsid w:val="009411DC"/>
    <w:rsid w:val="009450B6"/>
    <w:rsid w:val="0095086D"/>
    <w:rsid w:val="00955D89"/>
    <w:rsid w:val="00956594"/>
    <w:rsid w:val="00957D41"/>
    <w:rsid w:val="00960CEB"/>
    <w:rsid w:val="00971751"/>
    <w:rsid w:val="0097276B"/>
    <w:rsid w:val="0097763F"/>
    <w:rsid w:val="00980139"/>
    <w:rsid w:val="0098080E"/>
    <w:rsid w:val="0098090B"/>
    <w:rsid w:val="00981450"/>
    <w:rsid w:val="00981E74"/>
    <w:rsid w:val="009832EB"/>
    <w:rsid w:val="00984078"/>
    <w:rsid w:val="009844B4"/>
    <w:rsid w:val="00984751"/>
    <w:rsid w:val="0098673B"/>
    <w:rsid w:val="0098711C"/>
    <w:rsid w:val="00987AE0"/>
    <w:rsid w:val="0099037E"/>
    <w:rsid w:val="0099103C"/>
    <w:rsid w:val="00993869"/>
    <w:rsid w:val="00994341"/>
    <w:rsid w:val="00994705"/>
    <w:rsid w:val="0099480B"/>
    <w:rsid w:val="009963C5"/>
    <w:rsid w:val="009967E8"/>
    <w:rsid w:val="00997F50"/>
    <w:rsid w:val="009A0840"/>
    <w:rsid w:val="009A124F"/>
    <w:rsid w:val="009A143F"/>
    <w:rsid w:val="009A31AE"/>
    <w:rsid w:val="009A37FC"/>
    <w:rsid w:val="009A5416"/>
    <w:rsid w:val="009A6762"/>
    <w:rsid w:val="009B523E"/>
    <w:rsid w:val="009B7E18"/>
    <w:rsid w:val="009C1FC5"/>
    <w:rsid w:val="009C2A1C"/>
    <w:rsid w:val="009C2D26"/>
    <w:rsid w:val="009C3755"/>
    <w:rsid w:val="009C3E6B"/>
    <w:rsid w:val="009C4A39"/>
    <w:rsid w:val="009C5977"/>
    <w:rsid w:val="009C7CE2"/>
    <w:rsid w:val="009D1ABA"/>
    <w:rsid w:val="009D2EAC"/>
    <w:rsid w:val="009D3750"/>
    <w:rsid w:val="009D3B89"/>
    <w:rsid w:val="009D70F3"/>
    <w:rsid w:val="009D7158"/>
    <w:rsid w:val="009E0251"/>
    <w:rsid w:val="009E150C"/>
    <w:rsid w:val="009E15D0"/>
    <w:rsid w:val="009E4200"/>
    <w:rsid w:val="009E4F51"/>
    <w:rsid w:val="009E511D"/>
    <w:rsid w:val="009E59E1"/>
    <w:rsid w:val="009E60EB"/>
    <w:rsid w:val="009F1524"/>
    <w:rsid w:val="009F1CDC"/>
    <w:rsid w:val="009F1F03"/>
    <w:rsid w:val="009F29E4"/>
    <w:rsid w:val="009F2F39"/>
    <w:rsid w:val="009F30B2"/>
    <w:rsid w:val="009F417F"/>
    <w:rsid w:val="009F565C"/>
    <w:rsid w:val="009F6943"/>
    <w:rsid w:val="009F71D2"/>
    <w:rsid w:val="009F7514"/>
    <w:rsid w:val="00A0160D"/>
    <w:rsid w:val="00A01B29"/>
    <w:rsid w:val="00A1021A"/>
    <w:rsid w:val="00A10978"/>
    <w:rsid w:val="00A112E9"/>
    <w:rsid w:val="00A11E15"/>
    <w:rsid w:val="00A125B3"/>
    <w:rsid w:val="00A13DFB"/>
    <w:rsid w:val="00A13FFA"/>
    <w:rsid w:val="00A14993"/>
    <w:rsid w:val="00A14A4C"/>
    <w:rsid w:val="00A207E0"/>
    <w:rsid w:val="00A209DD"/>
    <w:rsid w:val="00A225EF"/>
    <w:rsid w:val="00A22F8C"/>
    <w:rsid w:val="00A23031"/>
    <w:rsid w:val="00A23192"/>
    <w:rsid w:val="00A262F6"/>
    <w:rsid w:val="00A309C9"/>
    <w:rsid w:val="00A30E68"/>
    <w:rsid w:val="00A31F24"/>
    <w:rsid w:val="00A32153"/>
    <w:rsid w:val="00A3297B"/>
    <w:rsid w:val="00A3309A"/>
    <w:rsid w:val="00A352BE"/>
    <w:rsid w:val="00A40838"/>
    <w:rsid w:val="00A42F10"/>
    <w:rsid w:val="00A53F17"/>
    <w:rsid w:val="00A56509"/>
    <w:rsid w:val="00A56E13"/>
    <w:rsid w:val="00A57A45"/>
    <w:rsid w:val="00A6184B"/>
    <w:rsid w:val="00A61859"/>
    <w:rsid w:val="00A62A4A"/>
    <w:rsid w:val="00A63BF2"/>
    <w:rsid w:val="00A647E4"/>
    <w:rsid w:val="00A648CF"/>
    <w:rsid w:val="00A65E12"/>
    <w:rsid w:val="00A73848"/>
    <w:rsid w:val="00A746F1"/>
    <w:rsid w:val="00A8140D"/>
    <w:rsid w:val="00A818B0"/>
    <w:rsid w:val="00A82004"/>
    <w:rsid w:val="00A856A9"/>
    <w:rsid w:val="00A85C11"/>
    <w:rsid w:val="00A869E1"/>
    <w:rsid w:val="00A8746D"/>
    <w:rsid w:val="00A91833"/>
    <w:rsid w:val="00A922B0"/>
    <w:rsid w:val="00A93213"/>
    <w:rsid w:val="00A93315"/>
    <w:rsid w:val="00A93E24"/>
    <w:rsid w:val="00A942E4"/>
    <w:rsid w:val="00A94A6F"/>
    <w:rsid w:val="00A979E1"/>
    <w:rsid w:val="00AA05B8"/>
    <w:rsid w:val="00AA161E"/>
    <w:rsid w:val="00AA48FA"/>
    <w:rsid w:val="00AA49E3"/>
    <w:rsid w:val="00AA4CA3"/>
    <w:rsid w:val="00AA5040"/>
    <w:rsid w:val="00AA5575"/>
    <w:rsid w:val="00AA7EAB"/>
    <w:rsid w:val="00AB0139"/>
    <w:rsid w:val="00AB4017"/>
    <w:rsid w:val="00AB4479"/>
    <w:rsid w:val="00AB453D"/>
    <w:rsid w:val="00AB4DB9"/>
    <w:rsid w:val="00AB5418"/>
    <w:rsid w:val="00AB768B"/>
    <w:rsid w:val="00AC085E"/>
    <w:rsid w:val="00AC0C57"/>
    <w:rsid w:val="00AC0EBF"/>
    <w:rsid w:val="00AC2A28"/>
    <w:rsid w:val="00AC4662"/>
    <w:rsid w:val="00AC4EAD"/>
    <w:rsid w:val="00AD08F5"/>
    <w:rsid w:val="00AD2F14"/>
    <w:rsid w:val="00AD4413"/>
    <w:rsid w:val="00AD4A50"/>
    <w:rsid w:val="00AD56FB"/>
    <w:rsid w:val="00AD61A5"/>
    <w:rsid w:val="00AD69C8"/>
    <w:rsid w:val="00AE074E"/>
    <w:rsid w:val="00AE0F6A"/>
    <w:rsid w:val="00AE2475"/>
    <w:rsid w:val="00AE2BE6"/>
    <w:rsid w:val="00AE2D66"/>
    <w:rsid w:val="00AE7518"/>
    <w:rsid w:val="00AE797E"/>
    <w:rsid w:val="00AF1E24"/>
    <w:rsid w:val="00AF24F8"/>
    <w:rsid w:val="00AF2866"/>
    <w:rsid w:val="00AF4021"/>
    <w:rsid w:val="00AF4F50"/>
    <w:rsid w:val="00AF56EA"/>
    <w:rsid w:val="00AF6129"/>
    <w:rsid w:val="00AF675F"/>
    <w:rsid w:val="00AF6F6C"/>
    <w:rsid w:val="00B00F09"/>
    <w:rsid w:val="00B01861"/>
    <w:rsid w:val="00B02046"/>
    <w:rsid w:val="00B03EF3"/>
    <w:rsid w:val="00B03F11"/>
    <w:rsid w:val="00B04037"/>
    <w:rsid w:val="00B04259"/>
    <w:rsid w:val="00B05ACE"/>
    <w:rsid w:val="00B05B26"/>
    <w:rsid w:val="00B05D1C"/>
    <w:rsid w:val="00B0624C"/>
    <w:rsid w:val="00B10189"/>
    <w:rsid w:val="00B120F2"/>
    <w:rsid w:val="00B15D7E"/>
    <w:rsid w:val="00B16706"/>
    <w:rsid w:val="00B17FC7"/>
    <w:rsid w:val="00B22491"/>
    <w:rsid w:val="00B23402"/>
    <w:rsid w:val="00B23E4D"/>
    <w:rsid w:val="00B2689E"/>
    <w:rsid w:val="00B27452"/>
    <w:rsid w:val="00B27754"/>
    <w:rsid w:val="00B30A97"/>
    <w:rsid w:val="00B3230A"/>
    <w:rsid w:val="00B353FE"/>
    <w:rsid w:val="00B36C08"/>
    <w:rsid w:val="00B417E6"/>
    <w:rsid w:val="00B42E35"/>
    <w:rsid w:val="00B46187"/>
    <w:rsid w:val="00B46708"/>
    <w:rsid w:val="00B4780C"/>
    <w:rsid w:val="00B510CE"/>
    <w:rsid w:val="00B5223E"/>
    <w:rsid w:val="00B55046"/>
    <w:rsid w:val="00B55C9C"/>
    <w:rsid w:val="00B55FD3"/>
    <w:rsid w:val="00B56C71"/>
    <w:rsid w:val="00B56E34"/>
    <w:rsid w:val="00B67269"/>
    <w:rsid w:val="00B67C0B"/>
    <w:rsid w:val="00B71A96"/>
    <w:rsid w:val="00B75740"/>
    <w:rsid w:val="00B758E5"/>
    <w:rsid w:val="00B803BE"/>
    <w:rsid w:val="00B81B71"/>
    <w:rsid w:val="00B83B5B"/>
    <w:rsid w:val="00B83BA3"/>
    <w:rsid w:val="00B85A10"/>
    <w:rsid w:val="00B85E89"/>
    <w:rsid w:val="00B86E85"/>
    <w:rsid w:val="00B879C8"/>
    <w:rsid w:val="00B91255"/>
    <w:rsid w:val="00B9143F"/>
    <w:rsid w:val="00B91EF0"/>
    <w:rsid w:val="00B92C21"/>
    <w:rsid w:val="00B95243"/>
    <w:rsid w:val="00B96C6F"/>
    <w:rsid w:val="00BA59E4"/>
    <w:rsid w:val="00BA66DE"/>
    <w:rsid w:val="00BA78A3"/>
    <w:rsid w:val="00BA7C87"/>
    <w:rsid w:val="00BA7E7A"/>
    <w:rsid w:val="00BB05E1"/>
    <w:rsid w:val="00BB2229"/>
    <w:rsid w:val="00BB4406"/>
    <w:rsid w:val="00BB62CC"/>
    <w:rsid w:val="00BC02F4"/>
    <w:rsid w:val="00BC307C"/>
    <w:rsid w:val="00BC41FF"/>
    <w:rsid w:val="00BC6036"/>
    <w:rsid w:val="00BC66CF"/>
    <w:rsid w:val="00BC689D"/>
    <w:rsid w:val="00BC6A4F"/>
    <w:rsid w:val="00BC6BA8"/>
    <w:rsid w:val="00BD0304"/>
    <w:rsid w:val="00BD0554"/>
    <w:rsid w:val="00BD09F6"/>
    <w:rsid w:val="00BD1DE4"/>
    <w:rsid w:val="00BD6864"/>
    <w:rsid w:val="00BD68DD"/>
    <w:rsid w:val="00BD73FA"/>
    <w:rsid w:val="00BE064C"/>
    <w:rsid w:val="00BE1535"/>
    <w:rsid w:val="00BF010F"/>
    <w:rsid w:val="00BF049A"/>
    <w:rsid w:val="00BF12FD"/>
    <w:rsid w:val="00BF1F1C"/>
    <w:rsid w:val="00BF1FA6"/>
    <w:rsid w:val="00C01317"/>
    <w:rsid w:val="00C0154F"/>
    <w:rsid w:val="00C019CB"/>
    <w:rsid w:val="00C02305"/>
    <w:rsid w:val="00C02CA3"/>
    <w:rsid w:val="00C05B0E"/>
    <w:rsid w:val="00C06B83"/>
    <w:rsid w:val="00C06D98"/>
    <w:rsid w:val="00C07C42"/>
    <w:rsid w:val="00C1022D"/>
    <w:rsid w:val="00C1117B"/>
    <w:rsid w:val="00C11EA8"/>
    <w:rsid w:val="00C12214"/>
    <w:rsid w:val="00C12F49"/>
    <w:rsid w:val="00C15E76"/>
    <w:rsid w:val="00C214F0"/>
    <w:rsid w:val="00C23692"/>
    <w:rsid w:val="00C24198"/>
    <w:rsid w:val="00C320B9"/>
    <w:rsid w:val="00C35AB6"/>
    <w:rsid w:val="00C36382"/>
    <w:rsid w:val="00C371A6"/>
    <w:rsid w:val="00C37270"/>
    <w:rsid w:val="00C37819"/>
    <w:rsid w:val="00C4230D"/>
    <w:rsid w:val="00C42D22"/>
    <w:rsid w:val="00C4392E"/>
    <w:rsid w:val="00C50B95"/>
    <w:rsid w:val="00C51C29"/>
    <w:rsid w:val="00C51FFA"/>
    <w:rsid w:val="00C54F63"/>
    <w:rsid w:val="00C559F1"/>
    <w:rsid w:val="00C627ED"/>
    <w:rsid w:val="00C62FFA"/>
    <w:rsid w:val="00C64C19"/>
    <w:rsid w:val="00C65F91"/>
    <w:rsid w:val="00C67CA6"/>
    <w:rsid w:val="00C70C69"/>
    <w:rsid w:val="00C72DED"/>
    <w:rsid w:val="00C73ADF"/>
    <w:rsid w:val="00C74196"/>
    <w:rsid w:val="00C744D1"/>
    <w:rsid w:val="00C74E83"/>
    <w:rsid w:val="00C751A4"/>
    <w:rsid w:val="00C800C1"/>
    <w:rsid w:val="00C80650"/>
    <w:rsid w:val="00C820DA"/>
    <w:rsid w:val="00C8568A"/>
    <w:rsid w:val="00C86276"/>
    <w:rsid w:val="00C87D32"/>
    <w:rsid w:val="00C924BD"/>
    <w:rsid w:val="00C92739"/>
    <w:rsid w:val="00C9347A"/>
    <w:rsid w:val="00C937FC"/>
    <w:rsid w:val="00C94728"/>
    <w:rsid w:val="00C94FC5"/>
    <w:rsid w:val="00C9634A"/>
    <w:rsid w:val="00C96D12"/>
    <w:rsid w:val="00CA081F"/>
    <w:rsid w:val="00CA2CF7"/>
    <w:rsid w:val="00CA32C8"/>
    <w:rsid w:val="00CA4EAB"/>
    <w:rsid w:val="00CA527B"/>
    <w:rsid w:val="00CA723D"/>
    <w:rsid w:val="00CB697F"/>
    <w:rsid w:val="00CC00C8"/>
    <w:rsid w:val="00CC0913"/>
    <w:rsid w:val="00CC16DC"/>
    <w:rsid w:val="00CC2CDE"/>
    <w:rsid w:val="00CC5F3A"/>
    <w:rsid w:val="00CC5FDA"/>
    <w:rsid w:val="00CC6748"/>
    <w:rsid w:val="00CC730D"/>
    <w:rsid w:val="00CD026D"/>
    <w:rsid w:val="00CD1FD8"/>
    <w:rsid w:val="00CD4FAD"/>
    <w:rsid w:val="00CD62E7"/>
    <w:rsid w:val="00CE0500"/>
    <w:rsid w:val="00CE065F"/>
    <w:rsid w:val="00CE11A7"/>
    <w:rsid w:val="00CE2506"/>
    <w:rsid w:val="00CE2C38"/>
    <w:rsid w:val="00CE43CA"/>
    <w:rsid w:val="00CE5F48"/>
    <w:rsid w:val="00CE7BAF"/>
    <w:rsid w:val="00CF0DCE"/>
    <w:rsid w:val="00CF173C"/>
    <w:rsid w:val="00CF1AD8"/>
    <w:rsid w:val="00CF2E80"/>
    <w:rsid w:val="00CF33EA"/>
    <w:rsid w:val="00CF3656"/>
    <w:rsid w:val="00CF3CC2"/>
    <w:rsid w:val="00CF5310"/>
    <w:rsid w:val="00CF58AE"/>
    <w:rsid w:val="00CF5997"/>
    <w:rsid w:val="00D02DCB"/>
    <w:rsid w:val="00D03B53"/>
    <w:rsid w:val="00D05BF2"/>
    <w:rsid w:val="00D06172"/>
    <w:rsid w:val="00D06CED"/>
    <w:rsid w:val="00D130D5"/>
    <w:rsid w:val="00D137E2"/>
    <w:rsid w:val="00D173F5"/>
    <w:rsid w:val="00D22C84"/>
    <w:rsid w:val="00D26E38"/>
    <w:rsid w:val="00D27630"/>
    <w:rsid w:val="00D317D8"/>
    <w:rsid w:val="00D31E0B"/>
    <w:rsid w:val="00D3340C"/>
    <w:rsid w:val="00D33621"/>
    <w:rsid w:val="00D33FEA"/>
    <w:rsid w:val="00D34E90"/>
    <w:rsid w:val="00D356F4"/>
    <w:rsid w:val="00D36955"/>
    <w:rsid w:val="00D37186"/>
    <w:rsid w:val="00D3789F"/>
    <w:rsid w:val="00D400C3"/>
    <w:rsid w:val="00D41FB3"/>
    <w:rsid w:val="00D44481"/>
    <w:rsid w:val="00D45DD6"/>
    <w:rsid w:val="00D5024A"/>
    <w:rsid w:val="00D53EE7"/>
    <w:rsid w:val="00D542B5"/>
    <w:rsid w:val="00D54615"/>
    <w:rsid w:val="00D54D80"/>
    <w:rsid w:val="00D54FD8"/>
    <w:rsid w:val="00D555BC"/>
    <w:rsid w:val="00D56F7B"/>
    <w:rsid w:val="00D57ED8"/>
    <w:rsid w:val="00D60044"/>
    <w:rsid w:val="00D605F7"/>
    <w:rsid w:val="00D60777"/>
    <w:rsid w:val="00D6096C"/>
    <w:rsid w:val="00D61DAD"/>
    <w:rsid w:val="00D625E8"/>
    <w:rsid w:val="00D62946"/>
    <w:rsid w:val="00D6378D"/>
    <w:rsid w:val="00D655FF"/>
    <w:rsid w:val="00D70770"/>
    <w:rsid w:val="00D70A6C"/>
    <w:rsid w:val="00D70C49"/>
    <w:rsid w:val="00D73135"/>
    <w:rsid w:val="00D755E7"/>
    <w:rsid w:val="00D81724"/>
    <w:rsid w:val="00D81D0B"/>
    <w:rsid w:val="00D84BB3"/>
    <w:rsid w:val="00D87250"/>
    <w:rsid w:val="00D874BA"/>
    <w:rsid w:val="00D87E3C"/>
    <w:rsid w:val="00D9063F"/>
    <w:rsid w:val="00D90895"/>
    <w:rsid w:val="00D90E3A"/>
    <w:rsid w:val="00D9389C"/>
    <w:rsid w:val="00D97B48"/>
    <w:rsid w:val="00D97B96"/>
    <w:rsid w:val="00DA2BA1"/>
    <w:rsid w:val="00DA3934"/>
    <w:rsid w:val="00DB1CEE"/>
    <w:rsid w:val="00DB213D"/>
    <w:rsid w:val="00DB4804"/>
    <w:rsid w:val="00DC3411"/>
    <w:rsid w:val="00DC6008"/>
    <w:rsid w:val="00DC7875"/>
    <w:rsid w:val="00DD1638"/>
    <w:rsid w:val="00DD3D6F"/>
    <w:rsid w:val="00DD439E"/>
    <w:rsid w:val="00DD59AD"/>
    <w:rsid w:val="00DE0E13"/>
    <w:rsid w:val="00DE196E"/>
    <w:rsid w:val="00DE1EB9"/>
    <w:rsid w:val="00DE344A"/>
    <w:rsid w:val="00DE3A4C"/>
    <w:rsid w:val="00DE7297"/>
    <w:rsid w:val="00DE7ABE"/>
    <w:rsid w:val="00DF0462"/>
    <w:rsid w:val="00DF3229"/>
    <w:rsid w:val="00DF3358"/>
    <w:rsid w:val="00DF390D"/>
    <w:rsid w:val="00DF3B1E"/>
    <w:rsid w:val="00DF4B1D"/>
    <w:rsid w:val="00DF5FE4"/>
    <w:rsid w:val="00DF6526"/>
    <w:rsid w:val="00E01A14"/>
    <w:rsid w:val="00E051BC"/>
    <w:rsid w:val="00E0575A"/>
    <w:rsid w:val="00E1152D"/>
    <w:rsid w:val="00E11FC2"/>
    <w:rsid w:val="00E13A3F"/>
    <w:rsid w:val="00E140DC"/>
    <w:rsid w:val="00E14BA1"/>
    <w:rsid w:val="00E15426"/>
    <w:rsid w:val="00E15DEA"/>
    <w:rsid w:val="00E165F1"/>
    <w:rsid w:val="00E17875"/>
    <w:rsid w:val="00E206E7"/>
    <w:rsid w:val="00E220A9"/>
    <w:rsid w:val="00E23A89"/>
    <w:rsid w:val="00E24A70"/>
    <w:rsid w:val="00E2607D"/>
    <w:rsid w:val="00E3063B"/>
    <w:rsid w:val="00E30DEA"/>
    <w:rsid w:val="00E324E3"/>
    <w:rsid w:val="00E3389A"/>
    <w:rsid w:val="00E3473A"/>
    <w:rsid w:val="00E35359"/>
    <w:rsid w:val="00E359BC"/>
    <w:rsid w:val="00E35D62"/>
    <w:rsid w:val="00E37B31"/>
    <w:rsid w:val="00E42C59"/>
    <w:rsid w:val="00E4364B"/>
    <w:rsid w:val="00E4374D"/>
    <w:rsid w:val="00E46FAB"/>
    <w:rsid w:val="00E46FC5"/>
    <w:rsid w:val="00E5036C"/>
    <w:rsid w:val="00E5037B"/>
    <w:rsid w:val="00E54870"/>
    <w:rsid w:val="00E56F76"/>
    <w:rsid w:val="00E57774"/>
    <w:rsid w:val="00E578DC"/>
    <w:rsid w:val="00E612FD"/>
    <w:rsid w:val="00E62145"/>
    <w:rsid w:val="00E63987"/>
    <w:rsid w:val="00E64F61"/>
    <w:rsid w:val="00E654E5"/>
    <w:rsid w:val="00E670E6"/>
    <w:rsid w:val="00E67D4D"/>
    <w:rsid w:val="00E712A0"/>
    <w:rsid w:val="00E72136"/>
    <w:rsid w:val="00E732A6"/>
    <w:rsid w:val="00E741EF"/>
    <w:rsid w:val="00E74C00"/>
    <w:rsid w:val="00E75263"/>
    <w:rsid w:val="00E777D7"/>
    <w:rsid w:val="00E779D3"/>
    <w:rsid w:val="00E80828"/>
    <w:rsid w:val="00E82E93"/>
    <w:rsid w:val="00E83A01"/>
    <w:rsid w:val="00E85AD3"/>
    <w:rsid w:val="00E86354"/>
    <w:rsid w:val="00E873D8"/>
    <w:rsid w:val="00E9031A"/>
    <w:rsid w:val="00E9039D"/>
    <w:rsid w:val="00E93E0C"/>
    <w:rsid w:val="00E97E56"/>
    <w:rsid w:val="00EA1353"/>
    <w:rsid w:val="00EA23BE"/>
    <w:rsid w:val="00EA2693"/>
    <w:rsid w:val="00EA2A5A"/>
    <w:rsid w:val="00EA3038"/>
    <w:rsid w:val="00EA3810"/>
    <w:rsid w:val="00EA569A"/>
    <w:rsid w:val="00EA5E88"/>
    <w:rsid w:val="00EA6B40"/>
    <w:rsid w:val="00EA6E18"/>
    <w:rsid w:val="00EA7696"/>
    <w:rsid w:val="00EB0981"/>
    <w:rsid w:val="00EB1F81"/>
    <w:rsid w:val="00EB2174"/>
    <w:rsid w:val="00EB3AC0"/>
    <w:rsid w:val="00EB53B4"/>
    <w:rsid w:val="00EB5C8B"/>
    <w:rsid w:val="00EB6E31"/>
    <w:rsid w:val="00EB7693"/>
    <w:rsid w:val="00EC0C53"/>
    <w:rsid w:val="00EC1005"/>
    <w:rsid w:val="00EC3D42"/>
    <w:rsid w:val="00EC6866"/>
    <w:rsid w:val="00ED0F3F"/>
    <w:rsid w:val="00ED47D2"/>
    <w:rsid w:val="00ED4F8E"/>
    <w:rsid w:val="00ED5C3B"/>
    <w:rsid w:val="00ED6AFC"/>
    <w:rsid w:val="00ED6B64"/>
    <w:rsid w:val="00ED6B7B"/>
    <w:rsid w:val="00EE02E0"/>
    <w:rsid w:val="00EE1342"/>
    <w:rsid w:val="00EE1A5D"/>
    <w:rsid w:val="00EE24D1"/>
    <w:rsid w:val="00EE41B4"/>
    <w:rsid w:val="00EF151D"/>
    <w:rsid w:val="00EF5073"/>
    <w:rsid w:val="00EF5355"/>
    <w:rsid w:val="00EF5BF8"/>
    <w:rsid w:val="00EF7136"/>
    <w:rsid w:val="00EF732D"/>
    <w:rsid w:val="00F00A03"/>
    <w:rsid w:val="00F02288"/>
    <w:rsid w:val="00F025B8"/>
    <w:rsid w:val="00F0263F"/>
    <w:rsid w:val="00F03169"/>
    <w:rsid w:val="00F07FCA"/>
    <w:rsid w:val="00F109D5"/>
    <w:rsid w:val="00F11BD3"/>
    <w:rsid w:val="00F11C80"/>
    <w:rsid w:val="00F1773A"/>
    <w:rsid w:val="00F20713"/>
    <w:rsid w:val="00F20BCC"/>
    <w:rsid w:val="00F21C2C"/>
    <w:rsid w:val="00F22894"/>
    <w:rsid w:val="00F2289A"/>
    <w:rsid w:val="00F23B55"/>
    <w:rsid w:val="00F30636"/>
    <w:rsid w:val="00F33FBC"/>
    <w:rsid w:val="00F34743"/>
    <w:rsid w:val="00F34869"/>
    <w:rsid w:val="00F3499D"/>
    <w:rsid w:val="00F3599B"/>
    <w:rsid w:val="00F35AE7"/>
    <w:rsid w:val="00F364BF"/>
    <w:rsid w:val="00F407D2"/>
    <w:rsid w:val="00F437DC"/>
    <w:rsid w:val="00F446C2"/>
    <w:rsid w:val="00F45D8B"/>
    <w:rsid w:val="00F4637B"/>
    <w:rsid w:val="00F46670"/>
    <w:rsid w:val="00F470EE"/>
    <w:rsid w:val="00F47B74"/>
    <w:rsid w:val="00F52A18"/>
    <w:rsid w:val="00F555A5"/>
    <w:rsid w:val="00F55D6A"/>
    <w:rsid w:val="00F61B2F"/>
    <w:rsid w:val="00F63955"/>
    <w:rsid w:val="00F64816"/>
    <w:rsid w:val="00F65B9C"/>
    <w:rsid w:val="00F6673E"/>
    <w:rsid w:val="00F703AB"/>
    <w:rsid w:val="00F73137"/>
    <w:rsid w:val="00F752E4"/>
    <w:rsid w:val="00F80340"/>
    <w:rsid w:val="00F80E7F"/>
    <w:rsid w:val="00F8156A"/>
    <w:rsid w:val="00F81C03"/>
    <w:rsid w:val="00F82C81"/>
    <w:rsid w:val="00F83D21"/>
    <w:rsid w:val="00F87FA6"/>
    <w:rsid w:val="00F90078"/>
    <w:rsid w:val="00F9147A"/>
    <w:rsid w:val="00F92B40"/>
    <w:rsid w:val="00F951C3"/>
    <w:rsid w:val="00F9645C"/>
    <w:rsid w:val="00FA0E6C"/>
    <w:rsid w:val="00FA2EF6"/>
    <w:rsid w:val="00FA2F1F"/>
    <w:rsid w:val="00FA354B"/>
    <w:rsid w:val="00FA5448"/>
    <w:rsid w:val="00FA5936"/>
    <w:rsid w:val="00FA6C1D"/>
    <w:rsid w:val="00FA6ED8"/>
    <w:rsid w:val="00FA7DD2"/>
    <w:rsid w:val="00FB365B"/>
    <w:rsid w:val="00FB3C4A"/>
    <w:rsid w:val="00FB478A"/>
    <w:rsid w:val="00FC411B"/>
    <w:rsid w:val="00FC4700"/>
    <w:rsid w:val="00FD06EC"/>
    <w:rsid w:val="00FD0CD3"/>
    <w:rsid w:val="00FD0DE6"/>
    <w:rsid w:val="00FD30BF"/>
    <w:rsid w:val="00FD4F6B"/>
    <w:rsid w:val="00FD5937"/>
    <w:rsid w:val="00FD772E"/>
    <w:rsid w:val="00FE03A3"/>
    <w:rsid w:val="00FE15DC"/>
    <w:rsid w:val="00FE29C0"/>
    <w:rsid w:val="00FE2FD3"/>
    <w:rsid w:val="00FE3C9F"/>
    <w:rsid w:val="00FE4CF8"/>
    <w:rsid w:val="00FE5016"/>
    <w:rsid w:val="00FE6AD9"/>
    <w:rsid w:val="00FE7932"/>
    <w:rsid w:val="00FE7EE3"/>
    <w:rsid w:val="00FF47CD"/>
    <w:rsid w:val="00FF4C0C"/>
    <w:rsid w:val="00FF538F"/>
    <w:rsid w:val="00FF5F7F"/>
    <w:rsid w:val="00FF6279"/>
    <w:rsid w:val="00FF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4F8273"/>
  <w15:chartTrackingRefBased/>
  <w15:docId w15:val="{8F4E994A-D4C9-4A65-816F-CE4F1ABB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8"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qFormat="1"/>
    <w:lsdException w:name="List Bullet" w:semiHidden="1" w:uiPriority="2"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0689E"/>
    <w:pPr>
      <w:widowControl w:val="0"/>
      <w:autoSpaceDE w:val="0"/>
      <w:autoSpaceDN w:val="0"/>
      <w:adjustRightInd w:val="0"/>
      <w:spacing w:after="200" w:line="264" w:lineRule="auto"/>
      <w:jc w:val="both"/>
    </w:pPr>
    <w:rPr>
      <w:rFonts w:ascii="Open Sans" w:eastAsia="Times New Roman" w:hAnsi="Open Sans" w:cs="Times New Roman"/>
      <w:color w:val="000000" w:themeColor="text1"/>
      <w:szCs w:val="20"/>
    </w:rPr>
  </w:style>
  <w:style w:type="paragraph" w:styleId="Heading1">
    <w:name w:val="heading 1"/>
    <w:basedOn w:val="Normal"/>
    <w:next w:val="Normal"/>
    <w:link w:val="Heading1Char"/>
    <w:uiPriority w:val="5"/>
    <w:qFormat/>
    <w:rsid w:val="00557D27"/>
    <w:pPr>
      <w:keepNext/>
      <w:spacing w:before="240" w:after="480" w:line="240" w:lineRule="auto"/>
      <w:jc w:val="left"/>
      <w:outlineLvl w:val="0"/>
    </w:pPr>
    <w:rPr>
      <w:rFonts w:ascii="Jura" w:hAnsi="Jura"/>
      <w:b/>
      <w:color w:val="7F7F7F" w:themeColor="text1" w:themeTint="80"/>
      <w:kern w:val="32"/>
      <w:sz w:val="56"/>
      <w:szCs w:val="40"/>
    </w:rPr>
  </w:style>
  <w:style w:type="paragraph" w:styleId="Heading2">
    <w:name w:val="heading 2"/>
    <w:basedOn w:val="Heading1"/>
    <w:next w:val="Normal"/>
    <w:link w:val="Heading2Char"/>
    <w:uiPriority w:val="6"/>
    <w:qFormat/>
    <w:rsid w:val="00BA7C87"/>
    <w:pPr>
      <w:spacing w:before="180" w:after="180" w:line="264" w:lineRule="auto"/>
      <w:contextualSpacing/>
      <w:outlineLvl w:val="1"/>
    </w:pPr>
    <w:rPr>
      <w:rFonts w:eastAsia="MS Gothic"/>
      <w:bCs/>
      <w:iCs/>
      <w:color w:val="EFA261" w:themeColor="accent1"/>
      <w:sz w:val="32"/>
      <w:szCs w:val="28"/>
    </w:rPr>
  </w:style>
  <w:style w:type="paragraph" w:styleId="Heading3">
    <w:name w:val="heading 3"/>
    <w:basedOn w:val="Heading2"/>
    <w:next w:val="Normal"/>
    <w:link w:val="Heading3Char"/>
    <w:uiPriority w:val="7"/>
    <w:qFormat/>
    <w:rsid w:val="006D05E9"/>
    <w:pPr>
      <w:spacing w:before="120"/>
      <w:outlineLvl w:val="2"/>
    </w:pPr>
    <w:rPr>
      <w:rFonts w:cs="Arial"/>
      <w:b w:val="0"/>
      <w:bCs w:val="0"/>
      <w:color w:val="7F7F7F" w:themeColor="text1" w:themeTint="80"/>
      <w:sz w:val="28"/>
    </w:rPr>
  </w:style>
  <w:style w:type="paragraph" w:styleId="Heading4">
    <w:name w:val="heading 4"/>
    <w:basedOn w:val="Normal"/>
    <w:next w:val="Normal"/>
    <w:link w:val="Heading4Char"/>
    <w:uiPriority w:val="8"/>
    <w:qFormat/>
    <w:rsid w:val="00817BC9"/>
    <w:pPr>
      <w:keepNext/>
      <w:spacing w:before="120" w:line="360" w:lineRule="exact"/>
      <w:contextualSpacing/>
      <w:outlineLvl w:val="3"/>
    </w:pPr>
    <w:rPr>
      <w:rFonts w:eastAsiaTheme="minorEastAsia" w:cs="Arial"/>
      <w:b/>
      <w:bCs/>
    </w:rPr>
  </w:style>
  <w:style w:type="paragraph" w:styleId="Heading5">
    <w:name w:val="heading 5"/>
    <w:basedOn w:val="Heading4"/>
    <w:next w:val="Normal"/>
    <w:link w:val="Heading5Char"/>
    <w:uiPriority w:val="98"/>
    <w:unhideWhenUsed/>
    <w:rsid w:val="00817BC9"/>
    <w:pPr>
      <w:numPr>
        <w:ilvl w:val="4"/>
        <w:numId w:val="6"/>
      </w:numPr>
      <w:outlineLvl w:val="4"/>
    </w:pPr>
  </w:style>
  <w:style w:type="paragraph" w:styleId="Heading6">
    <w:name w:val="heading 6"/>
    <w:basedOn w:val="Heading4"/>
    <w:next w:val="Normal"/>
    <w:link w:val="Heading6Char"/>
    <w:uiPriority w:val="98"/>
    <w:unhideWhenUsed/>
    <w:rsid w:val="00817BC9"/>
    <w:pPr>
      <w:numPr>
        <w:ilvl w:val="5"/>
        <w:numId w:val="6"/>
      </w:numPr>
      <w:outlineLvl w:val="5"/>
    </w:pPr>
  </w:style>
  <w:style w:type="paragraph" w:styleId="Heading7">
    <w:name w:val="heading 7"/>
    <w:basedOn w:val="Heading6"/>
    <w:next w:val="Normal"/>
    <w:link w:val="Heading7Char"/>
    <w:uiPriority w:val="98"/>
    <w:unhideWhenUsed/>
    <w:rsid w:val="00817BC9"/>
    <w:pPr>
      <w:numPr>
        <w:ilvl w:val="6"/>
      </w:numPr>
      <w:outlineLvl w:val="6"/>
    </w:pPr>
  </w:style>
  <w:style w:type="paragraph" w:styleId="Heading8">
    <w:name w:val="heading 8"/>
    <w:basedOn w:val="Heading7"/>
    <w:next w:val="Normal"/>
    <w:link w:val="Heading8Char"/>
    <w:uiPriority w:val="98"/>
    <w:unhideWhenUsed/>
    <w:rsid w:val="00817BC9"/>
    <w:pPr>
      <w:numPr>
        <w:ilvl w:val="7"/>
      </w:numPr>
      <w:outlineLvl w:val="7"/>
    </w:pPr>
  </w:style>
  <w:style w:type="paragraph" w:styleId="Heading9">
    <w:name w:val="heading 9"/>
    <w:basedOn w:val="Heading8"/>
    <w:next w:val="Normal"/>
    <w:link w:val="Heading9Char"/>
    <w:uiPriority w:val="98"/>
    <w:unhideWhenUsed/>
    <w:rsid w:val="00817BC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BC9"/>
    <w:pPr>
      <w:tabs>
        <w:tab w:val="center" w:pos="4320"/>
        <w:tab w:val="right" w:pos="8640"/>
      </w:tabs>
      <w:spacing w:before="120"/>
    </w:pPr>
    <w:rPr>
      <w:sz w:val="20"/>
    </w:rPr>
  </w:style>
  <w:style w:type="character" w:customStyle="1" w:styleId="HeaderChar">
    <w:name w:val="Header Char"/>
    <w:basedOn w:val="DefaultParagraphFont"/>
    <w:link w:val="Header"/>
    <w:uiPriority w:val="99"/>
    <w:rsid w:val="00817BC9"/>
    <w:rPr>
      <w:rFonts w:ascii="Open Sans" w:eastAsia="Times New Roman" w:hAnsi="Open Sans" w:cs="Times New Roman"/>
      <w:color w:val="000000" w:themeColor="text1"/>
      <w:sz w:val="20"/>
      <w:szCs w:val="20"/>
    </w:rPr>
  </w:style>
  <w:style w:type="paragraph" w:styleId="Footer">
    <w:name w:val="footer"/>
    <w:basedOn w:val="Normal"/>
    <w:link w:val="FooterChar"/>
    <w:uiPriority w:val="99"/>
    <w:unhideWhenUsed/>
    <w:rsid w:val="00817BC9"/>
    <w:pPr>
      <w:tabs>
        <w:tab w:val="center" w:pos="4320"/>
        <w:tab w:val="right" w:pos="8640"/>
      </w:tabs>
      <w:spacing w:after="40" w:line="252" w:lineRule="auto"/>
    </w:pPr>
    <w:rPr>
      <w:sz w:val="18"/>
    </w:rPr>
  </w:style>
  <w:style w:type="character" w:customStyle="1" w:styleId="FooterChar">
    <w:name w:val="Footer Char"/>
    <w:basedOn w:val="DefaultParagraphFont"/>
    <w:link w:val="Footer"/>
    <w:uiPriority w:val="99"/>
    <w:rsid w:val="00817BC9"/>
    <w:rPr>
      <w:rFonts w:ascii="Open Sans" w:eastAsia="Times New Roman" w:hAnsi="Open Sans" w:cs="Times New Roman"/>
      <w:color w:val="000000" w:themeColor="text1"/>
      <w:sz w:val="18"/>
      <w:szCs w:val="20"/>
    </w:rPr>
  </w:style>
  <w:style w:type="paragraph" w:styleId="NoSpacing">
    <w:name w:val="No Spacing"/>
    <w:uiPriority w:val="1"/>
    <w:rsid w:val="00CF5310"/>
    <w:pPr>
      <w:spacing w:after="0" w:line="240" w:lineRule="auto"/>
    </w:pPr>
    <w:rPr>
      <w:rFonts w:ascii="Open Sans" w:hAnsi="Open Sans"/>
      <w:sz w:val="20"/>
    </w:rPr>
  </w:style>
  <w:style w:type="paragraph" w:customStyle="1" w:styleId="NewInfoPages">
    <w:name w:val="New_Info Pages"/>
    <w:basedOn w:val="Normal"/>
    <w:link w:val="NewInfoPagesChar"/>
    <w:uiPriority w:val="99"/>
    <w:qFormat/>
    <w:rsid w:val="000C77BC"/>
    <w:pPr>
      <w:spacing w:after="0" w:line="240" w:lineRule="auto"/>
      <w:jc w:val="right"/>
    </w:pPr>
    <w:rPr>
      <w:rFonts w:ascii="Jura" w:hAnsi="Jura"/>
      <w:b/>
      <w:color w:val="58585B"/>
      <w:sz w:val="16"/>
    </w:rPr>
  </w:style>
  <w:style w:type="character" w:styleId="Hyperlink">
    <w:name w:val="Hyperlink"/>
    <w:uiPriority w:val="99"/>
    <w:unhideWhenUsed/>
    <w:rsid w:val="00817BC9"/>
    <w:rPr>
      <w:color w:val="1372C4" w:themeColor="accent2" w:themeShade="BF"/>
      <w:u w:val="single"/>
    </w:rPr>
  </w:style>
  <w:style w:type="character" w:customStyle="1" w:styleId="NewInfoPagesChar">
    <w:name w:val="New_Info Pages Char"/>
    <w:basedOn w:val="DefaultParagraphFont"/>
    <w:link w:val="NewInfoPages"/>
    <w:uiPriority w:val="99"/>
    <w:rsid w:val="006E2B9D"/>
    <w:rPr>
      <w:rFonts w:ascii="Jura" w:eastAsia="Times New Roman" w:hAnsi="Jura" w:cs="Times New Roman"/>
      <w:b/>
      <w:color w:val="58585B"/>
      <w:sz w:val="16"/>
      <w:szCs w:val="20"/>
    </w:rPr>
  </w:style>
  <w:style w:type="paragraph" w:customStyle="1" w:styleId="NewPageNumber">
    <w:name w:val="New_Page Number"/>
    <w:basedOn w:val="NewInfoPages"/>
    <w:link w:val="NewPageNumberChar"/>
    <w:uiPriority w:val="99"/>
    <w:qFormat/>
    <w:rsid w:val="000C77BC"/>
    <w:pPr>
      <w:jc w:val="center"/>
    </w:pPr>
    <w:rPr>
      <w:sz w:val="20"/>
    </w:rPr>
  </w:style>
  <w:style w:type="character" w:customStyle="1" w:styleId="NewPageNumberChar">
    <w:name w:val="New_Page Number Char"/>
    <w:basedOn w:val="NewInfoPagesChar"/>
    <w:link w:val="NewPageNumber"/>
    <w:uiPriority w:val="99"/>
    <w:rsid w:val="006E2B9D"/>
    <w:rPr>
      <w:rFonts w:ascii="Jura" w:eastAsia="Times New Roman" w:hAnsi="Jura" w:cs="Times New Roman"/>
      <w:b/>
      <w:color w:val="58585B"/>
      <w:sz w:val="20"/>
      <w:szCs w:val="20"/>
    </w:rPr>
  </w:style>
  <w:style w:type="numbering" w:styleId="111111">
    <w:name w:val="Outline List 2"/>
    <w:basedOn w:val="NoList"/>
    <w:uiPriority w:val="99"/>
    <w:semiHidden/>
    <w:unhideWhenUsed/>
    <w:rsid w:val="00817BC9"/>
    <w:pPr>
      <w:numPr>
        <w:numId w:val="1"/>
      </w:numPr>
    </w:pPr>
  </w:style>
  <w:style w:type="paragraph" w:customStyle="1" w:styleId="Introduction">
    <w:name w:val="Introduction"/>
    <w:basedOn w:val="Normal"/>
    <w:next w:val="Normal"/>
    <w:link w:val="IntroductionChar"/>
    <w:uiPriority w:val="16"/>
    <w:qFormat/>
    <w:rsid w:val="00817BC9"/>
    <w:pPr>
      <w:spacing w:line="240" w:lineRule="auto"/>
    </w:pPr>
    <w:rPr>
      <w:rFonts w:asciiTheme="majorHAnsi" w:eastAsia="MS Mincho" w:hAnsiTheme="majorHAnsi"/>
      <w:b/>
      <w:szCs w:val="22"/>
      <w:lang w:eastAsia="ja-JP"/>
    </w:rPr>
  </w:style>
  <w:style w:type="character" w:customStyle="1" w:styleId="IntroductionChar">
    <w:name w:val="Introduction Char"/>
    <w:basedOn w:val="DefaultParagraphFont"/>
    <w:link w:val="Introduction"/>
    <w:uiPriority w:val="16"/>
    <w:rsid w:val="00817BC9"/>
    <w:rPr>
      <w:rFonts w:asciiTheme="majorHAnsi" w:eastAsia="MS Mincho" w:hAnsiTheme="majorHAnsi" w:cs="Times New Roman"/>
      <w:b/>
      <w:color w:val="000000" w:themeColor="text1"/>
      <w:lang w:eastAsia="ja-JP"/>
    </w:rPr>
  </w:style>
  <w:style w:type="paragraph" w:customStyle="1" w:styleId="DocumentIntroduction">
    <w:name w:val="Document Introduction"/>
    <w:basedOn w:val="Introduction"/>
    <w:next w:val="Normal"/>
    <w:link w:val="DocumentIntroductionChar"/>
    <w:uiPriority w:val="15"/>
    <w:qFormat/>
    <w:rsid w:val="00817BC9"/>
    <w:pPr>
      <w:ind w:left="851" w:right="851"/>
      <w:jc w:val="center"/>
    </w:pPr>
  </w:style>
  <w:style w:type="character" w:customStyle="1" w:styleId="DocumentIntroductionChar">
    <w:name w:val="Document Introduction Char"/>
    <w:basedOn w:val="IntroductionChar"/>
    <w:link w:val="DocumentIntroduction"/>
    <w:uiPriority w:val="15"/>
    <w:rsid w:val="00817BC9"/>
    <w:rPr>
      <w:rFonts w:asciiTheme="majorHAnsi" w:eastAsia="MS Mincho" w:hAnsiTheme="majorHAnsi" w:cs="Times New Roman"/>
      <w:b/>
      <w:color w:val="000000" w:themeColor="text1"/>
      <w:lang w:eastAsia="ja-JP"/>
    </w:rPr>
  </w:style>
  <w:style w:type="paragraph" w:customStyle="1" w:styleId="Addenda">
    <w:name w:val="Addenda"/>
    <w:basedOn w:val="DocumentIntroduction"/>
    <w:link w:val="AddendaChar"/>
    <w:uiPriority w:val="16"/>
    <w:qFormat/>
    <w:rsid w:val="00817BC9"/>
    <w:rPr>
      <w:b w:val="0"/>
    </w:rPr>
  </w:style>
  <w:style w:type="character" w:customStyle="1" w:styleId="AddendaChar">
    <w:name w:val="Addenda Char"/>
    <w:basedOn w:val="DocumentIntroductionChar"/>
    <w:link w:val="Addenda"/>
    <w:uiPriority w:val="16"/>
    <w:rsid w:val="00817BC9"/>
    <w:rPr>
      <w:rFonts w:asciiTheme="majorHAnsi" w:eastAsia="MS Mincho" w:hAnsiTheme="majorHAnsi" w:cs="Times New Roman"/>
      <w:b w:val="0"/>
      <w:color w:val="000000" w:themeColor="text1"/>
      <w:lang w:eastAsia="ja-JP"/>
    </w:rPr>
  </w:style>
  <w:style w:type="paragraph" w:styleId="BalloonText">
    <w:name w:val="Balloon Text"/>
    <w:basedOn w:val="Normal"/>
    <w:link w:val="BalloonTextChar"/>
    <w:uiPriority w:val="99"/>
    <w:semiHidden/>
    <w:unhideWhenUsed/>
    <w:rsid w:val="00817BC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7BC9"/>
    <w:rPr>
      <w:rFonts w:ascii="Lucida Grande" w:eastAsia="Times New Roman" w:hAnsi="Lucida Grande" w:cs="Lucida Grande"/>
      <w:color w:val="000000" w:themeColor="text1"/>
      <w:sz w:val="18"/>
      <w:szCs w:val="18"/>
    </w:rPr>
  </w:style>
  <w:style w:type="paragraph" w:styleId="Caption">
    <w:name w:val="caption"/>
    <w:next w:val="Normal"/>
    <w:link w:val="CaptionChar"/>
    <w:uiPriority w:val="20"/>
    <w:qFormat/>
    <w:rsid w:val="00052575"/>
    <w:pPr>
      <w:spacing w:before="80" w:after="40" w:line="240" w:lineRule="auto"/>
      <w:ind w:left="868" w:hanging="811"/>
    </w:pPr>
    <w:rPr>
      <w:rFonts w:ascii="Open Sans" w:eastAsia="Calibri" w:hAnsi="Open Sans" w:cs="Arial"/>
      <w:color w:val="3597EB" w:themeColor="accent2"/>
      <w:sz w:val="18"/>
      <w:szCs w:val="12"/>
      <w:lang w:val="en-AU"/>
    </w:rPr>
  </w:style>
  <w:style w:type="character" w:customStyle="1" w:styleId="CaptionChar">
    <w:name w:val="Caption Char"/>
    <w:link w:val="Caption"/>
    <w:uiPriority w:val="20"/>
    <w:rsid w:val="00052575"/>
    <w:rPr>
      <w:rFonts w:ascii="Open Sans" w:eastAsia="Calibri" w:hAnsi="Open Sans" w:cs="Arial"/>
      <w:color w:val="3597EB" w:themeColor="accent2"/>
      <w:sz w:val="18"/>
      <w:szCs w:val="12"/>
      <w:lang w:val="en-AU"/>
    </w:rPr>
  </w:style>
  <w:style w:type="paragraph" w:customStyle="1" w:styleId="Caption-centred">
    <w:name w:val="Caption - centred"/>
    <w:basedOn w:val="Caption"/>
    <w:next w:val="Normal"/>
    <w:link w:val="Caption-centredChar"/>
    <w:uiPriority w:val="22"/>
    <w:qFormat/>
    <w:rsid w:val="00817BC9"/>
    <w:pPr>
      <w:framePr w:wrap="around" w:hAnchor="text"/>
      <w:ind w:left="1134" w:right="1134" w:firstLine="0"/>
      <w:jc w:val="center"/>
    </w:pPr>
    <w:rPr>
      <w:lang w:val="en-US"/>
    </w:rPr>
  </w:style>
  <w:style w:type="character" w:customStyle="1" w:styleId="Caption-centredChar">
    <w:name w:val="Caption - centred Char"/>
    <w:basedOn w:val="DefaultParagraphFont"/>
    <w:link w:val="Caption-centred"/>
    <w:uiPriority w:val="22"/>
    <w:rsid w:val="00817BC9"/>
    <w:rPr>
      <w:rFonts w:eastAsia="Calibri" w:cs="Arial"/>
      <w:b/>
      <w:sz w:val="18"/>
      <w:szCs w:val="12"/>
    </w:rPr>
  </w:style>
  <w:style w:type="paragraph" w:customStyle="1" w:styleId="CaptionDescription">
    <w:name w:val="Caption Description"/>
    <w:basedOn w:val="Caption-centred"/>
    <w:next w:val="Normal"/>
    <w:link w:val="CaptionDescriptionChar"/>
    <w:uiPriority w:val="21"/>
    <w:qFormat/>
    <w:rsid w:val="00052575"/>
    <w:pPr>
      <w:framePr w:wrap="auto"/>
      <w:tabs>
        <w:tab w:val="left" w:pos="567"/>
      </w:tabs>
      <w:spacing w:before="40"/>
      <w:ind w:left="0" w:right="113"/>
    </w:pPr>
    <w:rPr>
      <w:rFonts w:cs="Times"/>
    </w:rPr>
  </w:style>
  <w:style w:type="character" w:customStyle="1" w:styleId="CaptionDescriptionChar">
    <w:name w:val="Caption Description Char"/>
    <w:basedOn w:val="DefaultParagraphFont"/>
    <w:link w:val="CaptionDescription"/>
    <w:uiPriority w:val="21"/>
    <w:rsid w:val="00052575"/>
    <w:rPr>
      <w:rFonts w:ascii="Open Sans" w:eastAsia="Calibri" w:hAnsi="Open Sans" w:cs="Times"/>
      <w:color w:val="3597EB" w:themeColor="accent2"/>
      <w:sz w:val="18"/>
      <w:szCs w:val="12"/>
    </w:rPr>
  </w:style>
  <w:style w:type="paragraph" w:customStyle="1" w:styleId="CaptionDescription-Centred">
    <w:name w:val="Caption Description - Centred"/>
    <w:basedOn w:val="Caption-centred"/>
    <w:next w:val="Normal"/>
    <w:link w:val="CaptionDescription-CentredChar"/>
    <w:uiPriority w:val="23"/>
    <w:qFormat/>
    <w:rsid w:val="00FE7932"/>
    <w:pPr>
      <w:framePr w:wrap="around"/>
      <w:spacing w:before="0"/>
    </w:pPr>
  </w:style>
  <w:style w:type="character" w:customStyle="1" w:styleId="CaptionDescription-CentredChar">
    <w:name w:val="Caption Description - Centred Char"/>
    <w:basedOn w:val="Caption-centredChar"/>
    <w:link w:val="CaptionDescription-Centred"/>
    <w:uiPriority w:val="23"/>
    <w:rsid w:val="00FE7932"/>
    <w:rPr>
      <w:rFonts w:ascii="Open Sans" w:eastAsia="Calibri" w:hAnsi="Open Sans" w:cs="Arial"/>
      <w:b w:val="0"/>
      <w:color w:val="3597EB" w:themeColor="accent2"/>
      <w:sz w:val="18"/>
      <w:szCs w:val="12"/>
    </w:rPr>
  </w:style>
  <w:style w:type="paragraph" w:customStyle="1" w:styleId="DistributionClassification">
    <w:name w:val="Distribution Classification"/>
    <w:basedOn w:val="Normal"/>
    <w:uiPriority w:val="26"/>
    <w:qFormat/>
    <w:rsid w:val="00817BC9"/>
    <w:pPr>
      <w:tabs>
        <w:tab w:val="center" w:pos="4320"/>
        <w:tab w:val="right" w:pos="8640"/>
      </w:tabs>
      <w:spacing w:after="0"/>
      <w:jc w:val="center"/>
    </w:pPr>
    <w:rPr>
      <w:rFonts w:ascii="Arial Black" w:hAnsi="Arial Black"/>
      <w:bCs/>
      <w:caps/>
      <w:sz w:val="24"/>
      <w:szCs w:val="24"/>
    </w:rPr>
  </w:style>
  <w:style w:type="paragraph" w:styleId="DocumentMap">
    <w:name w:val="Document Map"/>
    <w:basedOn w:val="Normal"/>
    <w:link w:val="DocumentMapChar"/>
    <w:uiPriority w:val="99"/>
    <w:semiHidden/>
    <w:unhideWhenUsed/>
    <w:rsid w:val="00817BC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17BC9"/>
    <w:rPr>
      <w:rFonts w:ascii="Lucida Grande" w:eastAsia="Times New Roman" w:hAnsi="Lucida Grande" w:cs="Lucida Grande"/>
      <w:color w:val="000000" w:themeColor="text1"/>
      <w:sz w:val="24"/>
      <w:szCs w:val="24"/>
    </w:rPr>
  </w:style>
  <w:style w:type="table" w:customStyle="1" w:styleId="FarsightTable">
    <w:name w:val="Farsight Table"/>
    <w:basedOn w:val="TableNormal"/>
    <w:uiPriority w:val="99"/>
    <w:rsid w:val="00267851"/>
    <w:pPr>
      <w:spacing w:before="40" w:after="40" w:line="240" w:lineRule="auto"/>
    </w:pPr>
    <w:rPr>
      <w:rFonts w:ascii="Arial" w:eastAsia="Times New Roman" w:hAnsi="Arial" w:cs="Times New Roman"/>
      <w:sz w:val="20"/>
      <w:szCs w:val="20"/>
      <w:lang w:val="en-AU"/>
    </w:rPr>
    <w:tblPr>
      <w:tblStyleRowBandSize w:val="1"/>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vAlign w:val="center"/>
    </w:tcPr>
    <w:tblStylePr w:type="firstRow">
      <w:rPr>
        <w:b/>
      </w:rPr>
      <w:tblPr/>
      <w:tcPr>
        <w:shd w:val="clear" w:color="auto" w:fill="EFA261" w:themeFill="accent1"/>
      </w:tcPr>
    </w:tblStylePr>
    <w:tblStylePr w:type="firstCol">
      <w:rPr>
        <w:b w:val="0"/>
      </w:rPr>
    </w:tblStylePr>
    <w:tblStylePr w:type="band2Horz">
      <w:tblPr/>
      <w:tcPr>
        <w:shd w:val="clear" w:color="auto" w:fill="F8D9BF" w:themeFill="accent1" w:themeFillTint="66"/>
      </w:tcPr>
    </w:tblStylePr>
  </w:style>
  <w:style w:type="table" w:customStyle="1" w:styleId="Farsighttableblue">
    <w:name w:val="Farsight table blue"/>
    <w:basedOn w:val="FarsightTable"/>
    <w:uiPriority w:val="99"/>
    <w:rsid w:val="00817BC9"/>
    <w:rPr>
      <w:rFonts w:asciiTheme="minorHAnsi" w:hAnsiTheme="minorHAnsi"/>
      <w:lang w:val="en-US"/>
    </w:rPr>
    <w:tblPr/>
    <w:tcPr>
      <w:shd w:val="clear" w:color="auto" w:fill="auto"/>
    </w:tcPr>
    <w:tblStylePr w:type="firstRow">
      <w:rPr>
        <w:b/>
      </w:rPr>
      <w:tblPr/>
      <w:tcPr>
        <w:shd w:val="clear" w:color="auto" w:fill="3597EB" w:themeFill="accent2"/>
      </w:tcPr>
    </w:tblStylePr>
    <w:tblStylePr w:type="firstCol">
      <w:rPr>
        <w:b/>
      </w:rPr>
    </w:tblStylePr>
    <w:tblStylePr w:type="band2Horz">
      <w:tblPr/>
      <w:tcPr>
        <w:shd w:val="clear" w:color="auto" w:fill="D6EAFB" w:themeFill="accent2" w:themeFillTint="33"/>
      </w:tcPr>
    </w:tblStylePr>
  </w:style>
  <w:style w:type="table" w:customStyle="1" w:styleId="FarsightTablegreys">
    <w:name w:val="Farsight Table greys"/>
    <w:basedOn w:val="FarsightTable"/>
    <w:uiPriority w:val="99"/>
    <w:rsid w:val="00817BC9"/>
    <w:tblPr/>
    <w:tcPr>
      <w:shd w:val="clear" w:color="auto" w:fill="auto"/>
    </w:tcPr>
    <w:tblStylePr w:type="firstRow">
      <w:rPr>
        <w:b/>
      </w:rPr>
      <w:tblPr/>
      <w:tcPr>
        <w:shd w:val="clear" w:color="auto" w:fill="A6A6A6" w:themeFill="background1" w:themeFillShade="A6"/>
      </w:tcPr>
    </w:tblStylePr>
    <w:tblStylePr w:type="firstCol">
      <w:rPr>
        <w:b/>
      </w:rPr>
    </w:tblStylePr>
    <w:tblStylePr w:type="band2Horz">
      <w:tblPr/>
      <w:tcPr>
        <w:shd w:val="clear" w:color="auto" w:fill="D9D9D9" w:themeFill="background1" w:themeFillShade="D9"/>
      </w:tcPr>
    </w:tblStylePr>
  </w:style>
  <w:style w:type="character" w:styleId="FootnoteReference">
    <w:name w:val="footnote reference"/>
    <w:uiPriority w:val="27"/>
    <w:rsid w:val="00817BC9"/>
    <w:rPr>
      <w:sz w:val="18"/>
      <w:vertAlign w:val="superscript"/>
    </w:rPr>
  </w:style>
  <w:style w:type="paragraph" w:styleId="FootnoteText">
    <w:name w:val="footnote text"/>
    <w:basedOn w:val="Normal"/>
    <w:link w:val="FootnoteTextChar"/>
    <w:uiPriority w:val="99"/>
    <w:unhideWhenUsed/>
    <w:rsid w:val="00545EA5"/>
    <w:pPr>
      <w:widowControl/>
      <w:autoSpaceDE/>
      <w:autoSpaceDN/>
      <w:adjustRightInd/>
      <w:spacing w:after="40" w:line="252" w:lineRule="auto"/>
      <w:jc w:val="left"/>
    </w:pPr>
    <w:rPr>
      <w:rFonts w:eastAsia="Calibri" w:cs="Times"/>
      <w:sz w:val="16"/>
      <w:lang w:eastAsia="en-AU"/>
    </w:rPr>
  </w:style>
  <w:style w:type="character" w:customStyle="1" w:styleId="FootnoteTextChar">
    <w:name w:val="Footnote Text Char"/>
    <w:link w:val="FootnoteText"/>
    <w:uiPriority w:val="99"/>
    <w:rsid w:val="00545EA5"/>
    <w:rPr>
      <w:rFonts w:ascii="Open Sans" w:eastAsia="Calibri" w:hAnsi="Open Sans" w:cs="Times"/>
      <w:color w:val="000000" w:themeColor="text1"/>
      <w:sz w:val="16"/>
      <w:szCs w:val="20"/>
      <w:lang w:eastAsia="en-AU"/>
    </w:rPr>
  </w:style>
  <w:style w:type="paragraph" w:customStyle="1" w:styleId="Headerbuffer">
    <w:name w:val="Header buffer"/>
    <w:basedOn w:val="Header"/>
    <w:link w:val="HeaderbufferChar"/>
    <w:rsid w:val="00817BC9"/>
    <w:pPr>
      <w:spacing w:after="80"/>
    </w:pPr>
    <w:rPr>
      <w:sz w:val="16"/>
    </w:rPr>
  </w:style>
  <w:style w:type="character" w:customStyle="1" w:styleId="HeaderbufferChar">
    <w:name w:val="Header buffer Char"/>
    <w:basedOn w:val="HeaderChar"/>
    <w:link w:val="Headerbuffer"/>
    <w:rsid w:val="00817BC9"/>
    <w:rPr>
      <w:rFonts w:ascii="Open Sans" w:eastAsia="Times New Roman" w:hAnsi="Open Sans" w:cs="Times New Roman"/>
      <w:color w:val="000000" w:themeColor="text1"/>
      <w:sz w:val="16"/>
      <w:szCs w:val="20"/>
    </w:rPr>
  </w:style>
  <w:style w:type="paragraph" w:customStyle="1" w:styleId="HeaderTitle">
    <w:name w:val="Header Title"/>
    <w:basedOn w:val="Normal"/>
    <w:next w:val="Normal"/>
    <w:link w:val="HeaderTitleChar"/>
    <w:uiPriority w:val="24"/>
    <w:qFormat/>
    <w:rsid w:val="00817BC9"/>
    <w:pPr>
      <w:tabs>
        <w:tab w:val="center" w:pos="4320"/>
      </w:tabs>
      <w:spacing w:before="200" w:after="40" w:line="240" w:lineRule="auto"/>
    </w:pPr>
    <w:rPr>
      <w:rFonts w:eastAsia="MS Mincho"/>
      <w:caps/>
      <w:sz w:val="18"/>
      <w:szCs w:val="16"/>
    </w:rPr>
  </w:style>
  <w:style w:type="character" w:customStyle="1" w:styleId="HeaderTitleChar">
    <w:name w:val="Header Title Char"/>
    <w:basedOn w:val="DefaultParagraphFont"/>
    <w:link w:val="HeaderTitle"/>
    <w:uiPriority w:val="24"/>
    <w:rsid w:val="00817BC9"/>
    <w:rPr>
      <w:rFonts w:ascii="Open Sans" w:eastAsia="MS Mincho" w:hAnsi="Open Sans" w:cs="Times New Roman"/>
      <w:caps/>
      <w:color w:val="000000" w:themeColor="text1"/>
      <w:sz w:val="18"/>
      <w:szCs w:val="16"/>
    </w:rPr>
  </w:style>
  <w:style w:type="paragraph" w:customStyle="1" w:styleId="HeaderSubtitle">
    <w:name w:val="Header Subtitle"/>
    <w:basedOn w:val="HeaderTitle"/>
    <w:link w:val="HeaderSubtitleChar"/>
    <w:uiPriority w:val="25"/>
    <w:qFormat/>
    <w:rsid w:val="00817BC9"/>
    <w:pPr>
      <w:tabs>
        <w:tab w:val="clear" w:pos="4320"/>
        <w:tab w:val="left" w:pos="4058"/>
      </w:tabs>
      <w:spacing w:before="40"/>
      <w:ind w:right="3394"/>
    </w:pPr>
    <w:rPr>
      <w:b/>
      <w:caps w:val="0"/>
    </w:rPr>
  </w:style>
  <w:style w:type="character" w:customStyle="1" w:styleId="HeaderSubtitleChar">
    <w:name w:val="Header Subtitle Char"/>
    <w:basedOn w:val="HeaderTitleChar"/>
    <w:link w:val="HeaderSubtitle"/>
    <w:uiPriority w:val="25"/>
    <w:rsid w:val="00817BC9"/>
    <w:rPr>
      <w:rFonts w:ascii="Open Sans" w:eastAsia="MS Mincho" w:hAnsi="Open Sans" w:cs="Times New Roman"/>
      <w:b/>
      <w:caps w:val="0"/>
      <w:color w:val="000000" w:themeColor="text1"/>
      <w:sz w:val="18"/>
      <w:szCs w:val="16"/>
    </w:rPr>
  </w:style>
  <w:style w:type="character" w:customStyle="1" w:styleId="Heading1Char">
    <w:name w:val="Heading 1 Char"/>
    <w:basedOn w:val="DefaultParagraphFont"/>
    <w:link w:val="Heading1"/>
    <w:uiPriority w:val="5"/>
    <w:rsid w:val="00557D27"/>
    <w:rPr>
      <w:rFonts w:ascii="Jura" w:eastAsia="Times New Roman" w:hAnsi="Jura" w:cs="Times New Roman"/>
      <w:b/>
      <w:color w:val="7F7F7F" w:themeColor="text1" w:themeTint="80"/>
      <w:kern w:val="32"/>
      <w:sz w:val="56"/>
      <w:szCs w:val="40"/>
    </w:rPr>
  </w:style>
  <w:style w:type="character" w:customStyle="1" w:styleId="Heading2Char">
    <w:name w:val="Heading 2 Char"/>
    <w:link w:val="Heading2"/>
    <w:uiPriority w:val="6"/>
    <w:rsid w:val="00BA7C87"/>
    <w:rPr>
      <w:rFonts w:ascii="Jura" w:eastAsia="MS Gothic" w:hAnsi="Jura" w:cs="Times New Roman"/>
      <w:b/>
      <w:bCs/>
      <w:iCs/>
      <w:color w:val="EFA261" w:themeColor="accent1"/>
      <w:kern w:val="32"/>
      <w:sz w:val="32"/>
      <w:szCs w:val="28"/>
    </w:rPr>
  </w:style>
  <w:style w:type="character" w:customStyle="1" w:styleId="Heading3Char">
    <w:name w:val="Heading 3 Char"/>
    <w:link w:val="Heading3"/>
    <w:uiPriority w:val="7"/>
    <w:rsid w:val="006D05E9"/>
    <w:rPr>
      <w:rFonts w:ascii="Jura" w:eastAsia="MS Gothic" w:hAnsi="Jura" w:cs="Arial"/>
      <w:iCs/>
      <w:color w:val="7F7F7F" w:themeColor="text1" w:themeTint="80"/>
      <w:kern w:val="32"/>
      <w:sz w:val="28"/>
      <w:szCs w:val="28"/>
    </w:rPr>
  </w:style>
  <w:style w:type="character" w:customStyle="1" w:styleId="Heading4Char">
    <w:name w:val="Heading 4 Char"/>
    <w:basedOn w:val="DefaultParagraphFont"/>
    <w:link w:val="Heading4"/>
    <w:uiPriority w:val="8"/>
    <w:rsid w:val="00817BC9"/>
    <w:rPr>
      <w:rFonts w:ascii="Open Sans" w:eastAsiaTheme="minorEastAsia" w:hAnsi="Open Sans" w:cs="Arial"/>
      <w:b/>
      <w:bCs/>
      <w:color w:val="000000" w:themeColor="text1"/>
      <w:szCs w:val="20"/>
    </w:rPr>
  </w:style>
  <w:style w:type="character" w:customStyle="1" w:styleId="Heading5Char">
    <w:name w:val="Heading 5 Char"/>
    <w:basedOn w:val="DefaultParagraphFont"/>
    <w:link w:val="Heading5"/>
    <w:uiPriority w:val="98"/>
    <w:rsid w:val="00817BC9"/>
    <w:rPr>
      <w:rFonts w:ascii="Open Sans" w:eastAsiaTheme="minorEastAsia" w:hAnsi="Open Sans" w:cs="Arial"/>
      <w:b/>
      <w:bCs/>
      <w:color w:val="000000" w:themeColor="text1"/>
      <w:szCs w:val="20"/>
    </w:rPr>
  </w:style>
  <w:style w:type="character" w:customStyle="1" w:styleId="Heading6Char">
    <w:name w:val="Heading 6 Char"/>
    <w:basedOn w:val="DefaultParagraphFont"/>
    <w:link w:val="Heading6"/>
    <w:uiPriority w:val="98"/>
    <w:rsid w:val="00817BC9"/>
    <w:rPr>
      <w:rFonts w:ascii="Open Sans" w:eastAsiaTheme="minorEastAsia" w:hAnsi="Open Sans" w:cs="Arial"/>
      <w:b/>
      <w:bCs/>
      <w:color w:val="000000" w:themeColor="text1"/>
      <w:szCs w:val="20"/>
    </w:rPr>
  </w:style>
  <w:style w:type="character" w:customStyle="1" w:styleId="Heading7Char">
    <w:name w:val="Heading 7 Char"/>
    <w:basedOn w:val="DefaultParagraphFont"/>
    <w:link w:val="Heading7"/>
    <w:uiPriority w:val="98"/>
    <w:rsid w:val="00817BC9"/>
    <w:rPr>
      <w:rFonts w:ascii="Open Sans" w:eastAsiaTheme="minorEastAsia" w:hAnsi="Open Sans" w:cs="Arial"/>
      <w:b/>
      <w:bCs/>
      <w:color w:val="000000" w:themeColor="text1"/>
      <w:szCs w:val="20"/>
    </w:rPr>
  </w:style>
  <w:style w:type="character" w:customStyle="1" w:styleId="Heading8Char">
    <w:name w:val="Heading 8 Char"/>
    <w:basedOn w:val="DefaultParagraphFont"/>
    <w:link w:val="Heading8"/>
    <w:uiPriority w:val="98"/>
    <w:rsid w:val="00817BC9"/>
    <w:rPr>
      <w:rFonts w:ascii="Open Sans" w:eastAsiaTheme="minorEastAsia" w:hAnsi="Open Sans" w:cs="Arial"/>
      <w:b/>
      <w:bCs/>
      <w:color w:val="000000" w:themeColor="text1"/>
      <w:szCs w:val="20"/>
    </w:rPr>
  </w:style>
  <w:style w:type="character" w:customStyle="1" w:styleId="Heading9Char">
    <w:name w:val="Heading 9 Char"/>
    <w:basedOn w:val="DefaultParagraphFont"/>
    <w:link w:val="Heading9"/>
    <w:uiPriority w:val="98"/>
    <w:rsid w:val="00817BC9"/>
    <w:rPr>
      <w:rFonts w:ascii="Open Sans" w:eastAsiaTheme="minorEastAsia" w:hAnsi="Open Sans" w:cs="Arial"/>
      <w:b/>
      <w:bCs/>
      <w:color w:val="000000" w:themeColor="text1"/>
      <w:szCs w:val="20"/>
    </w:rPr>
  </w:style>
  <w:style w:type="paragraph" w:styleId="List">
    <w:name w:val="List"/>
    <w:basedOn w:val="Normal"/>
    <w:uiPriority w:val="3"/>
    <w:qFormat/>
    <w:rsid w:val="001A5C4D"/>
    <w:pPr>
      <w:numPr>
        <w:numId w:val="9"/>
      </w:numPr>
      <w:jc w:val="left"/>
    </w:pPr>
  </w:style>
  <w:style w:type="paragraph" w:styleId="List2">
    <w:name w:val="List 2"/>
    <w:basedOn w:val="Normal"/>
    <w:uiPriority w:val="99"/>
    <w:unhideWhenUsed/>
    <w:rsid w:val="00A979E1"/>
    <w:pPr>
      <w:numPr>
        <w:ilvl w:val="1"/>
        <w:numId w:val="9"/>
      </w:numPr>
      <w:jc w:val="left"/>
    </w:pPr>
  </w:style>
  <w:style w:type="paragraph" w:styleId="List3">
    <w:name w:val="List 3"/>
    <w:basedOn w:val="Normal"/>
    <w:uiPriority w:val="99"/>
    <w:unhideWhenUsed/>
    <w:rsid w:val="00817BC9"/>
    <w:pPr>
      <w:numPr>
        <w:ilvl w:val="2"/>
        <w:numId w:val="9"/>
      </w:numPr>
    </w:pPr>
  </w:style>
  <w:style w:type="paragraph" w:styleId="ListBullet">
    <w:name w:val="List Bullet"/>
    <w:basedOn w:val="Normal"/>
    <w:uiPriority w:val="2"/>
    <w:qFormat/>
    <w:rsid w:val="00146FE8"/>
    <w:pPr>
      <w:numPr>
        <w:numId w:val="15"/>
      </w:numPr>
      <w:jc w:val="left"/>
    </w:pPr>
  </w:style>
  <w:style w:type="paragraph" w:styleId="ListBullet2">
    <w:name w:val="List Bullet 2"/>
    <w:basedOn w:val="Normal"/>
    <w:uiPriority w:val="99"/>
    <w:unhideWhenUsed/>
    <w:rsid w:val="00817BC9"/>
    <w:pPr>
      <w:numPr>
        <w:ilvl w:val="1"/>
        <w:numId w:val="15"/>
      </w:numPr>
    </w:pPr>
  </w:style>
  <w:style w:type="paragraph" w:styleId="ListBullet3">
    <w:name w:val="List Bullet 3"/>
    <w:basedOn w:val="Normal"/>
    <w:uiPriority w:val="99"/>
    <w:unhideWhenUsed/>
    <w:rsid w:val="00817BC9"/>
    <w:pPr>
      <w:numPr>
        <w:ilvl w:val="2"/>
        <w:numId w:val="15"/>
      </w:numPr>
    </w:pPr>
  </w:style>
  <w:style w:type="paragraph" w:styleId="ListNumber">
    <w:name w:val="List Number"/>
    <w:basedOn w:val="Normal"/>
    <w:uiPriority w:val="1"/>
    <w:qFormat/>
    <w:rsid w:val="00146FE8"/>
    <w:pPr>
      <w:widowControl/>
      <w:numPr>
        <w:numId w:val="21"/>
      </w:numPr>
      <w:autoSpaceDE/>
      <w:autoSpaceDN/>
      <w:adjustRightInd/>
      <w:jc w:val="left"/>
    </w:pPr>
    <w:rPr>
      <w:rFonts w:eastAsia="Calibri"/>
      <w:iCs/>
      <w:szCs w:val="24"/>
      <w:lang w:val="en-AU" w:eastAsia="en-AU"/>
    </w:rPr>
  </w:style>
  <w:style w:type="paragraph" w:styleId="ListNumber2">
    <w:name w:val="List Number 2"/>
    <w:basedOn w:val="Normal"/>
    <w:uiPriority w:val="99"/>
    <w:unhideWhenUsed/>
    <w:rsid w:val="00817BC9"/>
    <w:pPr>
      <w:numPr>
        <w:ilvl w:val="1"/>
        <w:numId w:val="21"/>
      </w:numPr>
    </w:pPr>
  </w:style>
  <w:style w:type="paragraph" w:styleId="ListNumber3">
    <w:name w:val="List Number 3"/>
    <w:basedOn w:val="Normal"/>
    <w:uiPriority w:val="99"/>
    <w:unhideWhenUsed/>
    <w:rsid w:val="00817BC9"/>
    <w:pPr>
      <w:numPr>
        <w:ilvl w:val="2"/>
        <w:numId w:val="21"/>
      </w:numPr>
    </w:pPr>
  </w:style>
  <w:style w:type="paragraph" w:customStyle="1" w:styleId="PageNo">
    <w:name w:val="Page No#"/>
    <w:basedOn w:val="Normal"/>
    <w:uiPriority w:val="17"/>
    <w:qFormat/>
    <w:rsid w:val="00817BC9"/>
    <w:pPr>
      <w:spacing w:after="0"/>
      <w:jc w:val="center"/>
    </w:pPr>
    <w:rPr>
      <w:sz w:val="20"/>
    </w:rPr>
  </w:style>
  <w:style w:type="character" w:styleId="PageNumber">
    <w:name w:val="page number"/>
    <w:basedOn w:val="DefaultParagraphFont"/>
    <w:uiPriority w:val="99"/>
    <w:semiHidden/>
    <w:unhideWhenUsed/>
    <w:qFormat/>
    <w:rsid w:val="00817BC9"/>
  </w:style>
  <w:style w:type="paragraph" w:styleId="Quote">
    <w:name w:val="Quote"/>
    <w:basedOn w:val="Normal"/>
    <w:next w:val="Normal"/>
    <w:link w:val="QuoteChar"/>
    <w:uiPriority w:val="4"/>
    <w:qFormat/>
    <w:rsid w:val="00817BC9"/>
    <w:pPr>
      <w:spacing w:before="120"/>
      <w:ind w:left="227" w:right="227"/>
    </w:pPr>
    <w:rPr>
      <w:bCs/>
      <w:i/>
      <w:iCs/>
      <w:szCs w:val="22"/>
    </w:rPr>
  </w:style>
  <w:style w:type="character" w:customStyle="1" w:styleId="QuoteChar">
    <w:name w:val="Quote Char"/>
    <w:basedOn w:val="DefaultParagraphFont"/>
    <w:link w:val="Quote"/>
    <w:uiPriority w:val="4"/>
    <w:rsid w:val="00817BC9"/>
    <w:rPr>
      <w:rFonts w:ascii="Open Sans" w:eastAsia="Times New Roman" w:hAnsi="Open Sans" w:cs="Times New Roman"/>
      <w:bCs/>
      <w:i/>
      <w:iCs/>
      <w:color w:val="000000" w:themeColor="text1"/>
    </w:rPr>
  </w:style>
  <w:style w:type="table" w:customStyle="1" w:styleId="STATTtable">
    <w:name w:val="STATT table"/>
    <w:basedOn w:val="TableNormal"/>
    <w:uiPriority w:val="99"/>
    <w:rsid w:val="00817BC9"/>
    <w:pPr>
      <w:spacing w:before="40" w:after="40" w:line="240" w:lineRule="auto"/>
    </w:pPr>
    <w:rPr>
      <w:rFonts w:ascii="Arial" w:eastAsia="Times New Roman" w:hAnsi="Arial" w:cs="Times New Roman"/>
      <w:sz w:val="20"/>
      <w:szCs w:val="20"/>
      <w:lang w:val="en-AU"/>
    </w:rPr>
    <w:tblPr>
      <w:tblStyleRowBandSize w:val="1"/>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vAlign w:val="center"/>
    </w:tcPr>
    <w:tblStylePr w:type="firstRow">
      <w:rPr>
        <w:b/>
      </w:rPr>
      <w:tblPr/>
      <w:tcPr>
        <w:shd w:val="clear" w:color="auto" w:fill="EFA261" w:themeFill="accent1"/>
      </w:tcPr>
    </w:tblStylePr>
    <w:tblStylePr w:type="firstCol">
      <w:rPr>
        <w:b/>
      </w:rPr>
    </w:tblStylePr>
    <w:tblStylePr w:type="band2Horz">
      <w:tblPr/>
      <w:tcPr>
        <w:shd w:val="clear" w:color="auto" w:fill="F8D9BF" w:themeFill="accent1" w:themeFillTint="66"/>
      </w:tcPr>
    </w:tblStylePr>
  </w:style>
  <w:style w:type="table" w:customStyle="1" w:styleId="STATTtableblue">
    <w:name w:val="STATT table blue"/>
    <w:basedOn w:val="STATTtable"/>
    <w:uiPriority w:val="99"/>
    <w:rsid w:val="00817BC9"/>
    <w:tblPr/>
    <w:tcPr>
      <w:shd w:val="clear" w:color="auto" w:fill="auto"/>
    </w:tcPr>
    <w:tblStylePr w:type="firstRow">
      <w:rPr>
        <w:b/>
      </w:rPr>
      <w:tblPr/>
      <w:tcPr>
        <w:shd w:val="clear" w:color="auto" w:fill="DF7D52" w:themeFill="text2"/>
      </w:tcPr>
    </w:tblStylePr>
    <w:tblStylePr w:type="firstCol">
      <w:rPr>
        <w:b/>
      </w:rPr>
    </w:tblStylePr>
    <w:tblStylePr w:type="band2Horz">
      <w:tblPr/>
      <w:tcPr>
        <w:shd w:val="clear" w:color="auto" w:fill="F8E4DC" w:themeFill="text2" w:themeFillTint="33"/>
      </w:tcPr>
    </w:tblStylePr>
  </w:style>
  <w:style w:type="table" w:customStyle="1" w:styleId="Style1">
    <w:name w:val="Style1"/>
    <w:basedOn w:val="STATTtable"/>
    <w:uiPriority w:val="99"/>
    <w:rsid w:val="00817BC9"/>
    <w:tblPr/>
    <w:tcPr>
      <w:shd w:val="clear" w:color="auto" w:fill="auto"/>
    </w:tcPr>
    <w:tblStylePr w:type="firstRow">
      <w:rPr>
        <w:b/>
      </w:rPr>
      <w:tblPr/>
      <w:tcPr>
        <w:shd w:val="clear" w:color="auto" w:fill="A6A6A6" w:themeFill="background1" w:themeFillShade="A6"/>
      </w:tcPr>
    </w:tblStylePr>
    <w:tblStylePr w:type="firstCol">
      <w:rPr>
        <w:b/>
      </w:rPr>
    </w:tblStylePr>
    <w:tblStylePr w:type="band2Horz">
      <w:tblPr/>
      <w:tcPr>
        <w:shd w:val="clear" w:color="auto" w:fill="D9D9D9" w:themeFill="background1" w:themeFillShade="D9"/>
      </w:tcPr>
    </w:tblStylePr>
  </w:style>
  <w:style w:type="paragraph" w:styleId="Title">
    <w:name w:val="Title"/>
    <w:basedOn w:val="Heading1"/>
    <w:next w:val="Normal"/>
    <w:link w:val="TitleChar"/>
    <w:uiPriority w:val="13"/>
    <w:qFormat/>
    <w:rsid w:val="00817BC9"/>
    <w:pPr>
      <w:jc w:val="center"/>
    </w:pPr>
    <w:rPr>
      <w:b w:val="0"/>
      <w:caps/>
      <w:color w:val="auto"/>
      <w:spacing w:val="10"/>
      <w:sz w:val="48"/>
      <w:szCs w:val="48"/>
    </w:rPr>
  </w:style>
  <w:style w:type="character" w:customStyle="1" w:styleId="TitleChar">
    <w:name w:val="Title Char"/>
    <w:basedOn w:val="DefaultParagraphFont"/>
    <w:link w:val="Title"/>
    <w:uiPriority w:val="13"/>
    <w:rsid w:val="00817BC9"/>
    <w:rPr>
      <w:rFonts w:ascii="Jura" w:eastAsia="Times New Roman" w:hAnsi="Jura" w:cs="Times New Roman"/>
      <w:spacing w:val="10"/>
      <w:kern w:val="32"/>
      <w:sz w:val="48"/>
      <w:szCs w:val="48"/>
    </w:rPr>
  </w:style>
  <w:style w:type="paragraph" w:styleId="Subtitle">
    <w:name w:val="Subtitle"/>
    <w:basedOn w:val="Title"/>
    <w:next w:val="Normal"/>
    <w:link w:val="SubtitleChar"/>
    <w:uiPriority w:val="14"/>
    <w:qFormat/>
    <w:rsid w:val="00817BC9"/>
    <w:pPr>
      <w:spacing w:before="180" w:after="180" w:line="360" w:lineRule="auto"/>
      <w:contextualSpacing/>
    </w:pPr>
    <w:rPr>
      <w:b/>
      <w:bCs/>
      <w:i/>
      <w:spacing w:val="0"/>
      <w:sz w:val="36"/>
      <w:szCs w:val="28"/>
    </w:rPr>
  </w:style>
  <w:style w:type="character" w:customStyle="1" w:styleId="SubtitleChar">
    <w:name w:val="Subtitle Char"/>
    <w:basedOn w:val="DefaultParagraphFont"/>
    <w:link w:val="Subtitle"/>
    <w:uiPriority w:val="14"/>
    <w:rsid w:val="00817BC9"/>
    <w:rPr>
      <w:rFonts w:ascii="Jura" w:eastAsia="Times New Roman" w:hAnsi="Jura" w:cs="Times New Roman"/>
      <w:b/>
      <w:bCs/>
      <w:i/>
      <w:kern w:val="32"/>
      <w:sz w:val="36"/>
      <w:szCs w:val="28"/>
    </w:rPr>
  </w:style>
  <w:style w:type="table" w:styleId="TableGrid">
    <w:name w:val="Table Grid"/>
    <w:basedOn w:val="TableNormal"/>
    <w:uiPriority w:val="39"/>
    <w:rsid w:val="00817BC9"/>
    <w:pPr>
      <w:spacing w:after="0" w:line="240" w:lineRule="auto"/>
    </w:pPr>
    <w:rPr>
      <w:rFonts w:ascii="Times New Roman" w:eastAsia="Times New Roman" w:hAnsi="Times New Roman" w:cs="Times New Roman"/>
      <w:sz w:val="20"/>
      <w:szCs w:val="20"/>
      <w:lang w:val="en-AU"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817BC9"/>
  </w:style>
  <w:style w:type="paragraph" w:customStyle="1" w:styleId="TableText">
    <w:name w:val="Table Text"/>
    <w:basedOn w:val="Normal"/>
    <w:uiPriority w:val="26"/>
    <w:qFormat/>
    <w:rsid w:val="00817BC9"/>
    <w:pPr>
      <w:spacing w:before="40" w:after="40"/>
      <w:jc w:val="left"/>
    </w:pPr>
    <w:rPr>
      <w:sz w:val="20"/>
    </w:rPr>
  </w:style>
  <w:style w:type="paragraph" w:customStyle="1" w:styleId="TextboxHeading">
    <w:name w:val="Text box Heading"/>
    <w:basedOn w:val="Normal"/>
    <w:link w:val="TextboxHeadingChar"/>
    <w:uiPriority w:val="18"/>
    <w:qFormat/>
    <w:rsid w:val="00817BC9"/>
    <w:pPr>
      <w:widowControl/>
      <w:autoSpaceDE/>
      <w:autoSpaceDN/>
      <w:adjustRightInd/>
      <w:spacing w:before="120"/>
      <w:jc w:val="left"/>
    </w:pPr>
    <w:rPr>
      <w:rFonts w:eastAsia="Calibri" w:cs="Times"/>
      <w:b/>
      <w:i/>
      <w:szCs w:val="28"/>
      <w:u w:val="single"/>
      <w:lang w:eastAsia="en-AU"/>
    </w:rPr>
  </w:style>
  <w:style w:type="character" w:customStyle="1" w:styleId="TextboxHeadingChar">
    <w:name w:val="Text box Heading Char"/>
    <w:link w:val="TextboxHeading"/>
    <w:uiPriority w:val="18"/>
    <w:rsid w:val="00817BC9"/>
    <w:rPr>
      <w:rFonts w:ascii="Open Sans" w:eastAsia="Calibri" w:hAnsi="Open Sans" w:cs="Times"/>
      <w:b/>
      <w:i/>
      <w:color w:val="000000" w:themeColor="text1"/>
      <w:szCs w:val="28"/>
      <w:u w:val="single"/>
      <w:lang w:eastAsia="en-AU"/>
    </w:rPr>
  </w:style>
  <w:style w:type="paragraph" w:customStyle="1" w:styleId="TextBoxtext">
    <w:name w:val="Text Box text"/>
    <w:basedOn w:val="Normal"/>
    <w:link w:val="TextBoxtextChar"/>
    <w:uiPriority w:val="19"/>
    <w:qFormat/>
    <w:rsid w:val="00817BC9"/>
    <w:pPr>
      <w:widowControl/>
      <w:autoSpaceDE/>
      <w:autoSpaceDN/>
      <w:adjustRightInd/>
      <w:spacing w:after="80"/>
      <w:jc w:val="left"/>
    </w:pPr>
    <w:rPr>
      <w:rFonts w:eastAsia="Calibri" w:cs="Times"/>
      <w:sz w:val="20"/>
      <w:lang w:eastAsia="en-AU"/>
    </w:rPr>
  </w:style>
  <w:style w:type="character" w:customStyle="1" w:styleId="TextBoxtextChar">
    <w:name w:val="Text Box text Char"/>
    <w:link w:val="TextBoxtext"/>
    <w:uiPriority w:val="19"/>
    <w:rsid w:val="00817BC9"/>
    <w:rPr>
      <w:rFonts w:ascii="Open Sans" w:eastAsia="Calibri" w:hAnsi="Open Sans" w:cs="Times"/>
      <w:color w:val="000000" w:themeColor="text1"/>
      <w:sz w:val="20"/>
      <w:szCs w:val="20"/>
      <w:lang w:eastAsia="en-AU"/>
    </w:rPr>
  </w:style>
  <w:style w:type="paragraph" w:styleId="TOC1">
    <w:name w:val="toc 1"/>
    <w:basedOn w:val="Normal"/>
    <w:next w:val="Normal"/>
    <w:uiPriority w:val="39"/>
    <w:unhideWhenUsed/>
    <w:rsid w:val="00817BC9"/>
    <w:pPr>
      <w:tabs>
        <w:tab w:val="left" w:pos="373"/>
        <w:tab w:val="left" w:pos="407"/>
        <w:tab w:val="right" w:leader="dot" w:pos="9055"/>
      </w:tabs>
      <w:spacing w:before="160" w:after="80"/>
    </w:pPr>
    <w:rPr>
      <w:rFonts w:cs="Arial"/>
      <w:b/>
      <w:bCs/>
    </w:rPr>
  </w:style>
  <w:style w:type="paragraph" w:styleId="TOC2">
    <w:name w:val="toc 2"/>
    <w:basedOn w:val="Normal"/>
    <w:next w:val="Normal"/>
    <w:uiPriority w:val="39"/>
    <w:unhideWhenUsed/>
    <w:rsid w:val="00817BC9"/>
    <w:pPr>
      <w:tabs>
        <w:tab w:val="left" w:pos="1141"/>
        <w:tab w:val="right" w:leader="dot" w:pos="9055"/>
      </w:tabs>
      <w:spacing w:after="0"/>
      <w:ind w:left="1134" w:hanging="567"/>
    </w:pPr>
  </w:style>
  <w:style w:type="paragraph" w:styleId="TOC3">
    <w:name w:val="toc 3"/>
    <w:basedOn w:val="Normal"/>
    <w:next w:val="Normal"/>
    <w:uiPriority w:val="39"/>
    <w:unhideWhenUsed/>
    <w:rsid w:val="00817BC9"/>
    <w:pPr>
      <w:tabs>
        <w:tab w:val="left" w:pos="1591"/>
        <w:tab w:val="right" w:leader="dot" w:pos="9055"/>
      </w:tabs>
      <w:spacing w:after="0"/>
      <w:ind w:left="1701" w:hanging="567"/>
    </w:pPr>
  </w:style>
  <w:style w:type="paragraph" w:customStyle="1" w:styleId="TOCTitle">
    <w:name w:val="TOC Title"/>
    <w:basedOn w:val="Title"/>
    <w:next w:val="Normal"/>
    <w:link w:val="TOCTitleChar"/>
    <w:uiPriority w:val="26"/>
    <w:qFormat/>
    <w:rsid w:val="00817BC9"/>
    <w:pPr>
      <w:spacing w:after="320"/>
      <w:jc w:val="left"/>
    </w:pPr>
    <w:rPr>
      <w:sz w:val="36"/>
    </w:rPr>
  </w:style>
  <w:style w:type="character" w:customStyle="1" w:styleId="TOCTitleChar">
    <w:name w:val="TOC Title Char"/>
    <w:basedOn w:val="TitleChar"/>
    <w:link w:val="TOCTitle"/>
    <w:uiPriority w:val="26"/>
    <w:rsid w:val="00817BC9"/>
    <w:rPr>
      <w:rFonts w:ascii="Jura" w:eastAsia="Times New Roman" w:hAnsi="Jura" w:cs="Times New Roman"/>
      <w:spacing w:val="10"/>
      <w:kern w:val="32"/>
      <w:sz w:val="36"/>
      <w:szCs w:val="48"/>
    </w:rPr>
  </w:style>
  <w:style w:type="paragraph" w:customStyle="1" w:styleId="NewBodyText">
    <w:name w:val="New_Body Text"/>
    <w:basedOn w:val="Normal"/>
    <w:link w:val="NewBodyTextChar"/>
    <w:rsid w:val="00817BC9"/>
    <w:rPr>
      <w:sz w:val="20"/>
    </w:rPr>
  </w:style>
  <w:style w:type="character" w:customStyle="1" w:styleId="NewBodyTextChar">
    <w:name w:val="New_Body Text Char"/>
    <w:basedOn w:val="DefaultParagraphFont"/>
    <w:link w:val="NewBodyText"/>
    <w:rsid w:val="00817BC9"/>
    <w:rPr>
      <w:rFonts w:ascii="Open Sans" w:eastAsia="Times New Roman" w:hAnsi="Open Sans" w:cs="Times New Roman"/>
      <w:color w:val="000000" w:themeColor="text1"/>
      <w:sz w:val="20"/>
      <w:szCs w:val="20"/>
    </w:rPr>
  </w:style>
  <w:style w:type="paragraph" w:customStyle="1" w:styleId="NewDate">
    <w:name w:val="New_Date"/>
    <w:basedOn w:val="Normal"/>
    <w:link w:val="NewDateChar"/>
    <w:uiPriority w:val="99"/>
    <w:qFormat/>
    <w:rsid w:val="003B28CB"/>
    <w:pPr>
      <w:widowControl/>
      <w:autoSpaceDE/>
      <w:autoSpaceDN/>
      <w:adjustRightInd/>
      <w:spacing w:after="240" w:line="240" w:lineRule="auto"/>
      <w:jc w:val="left"/>
    </w:pPr>
    <w:rPr>
      <w:rFonts w:ascii="Jura" w:eastAsiaTheme="minorHAnsi" w:hAnsi="Jura" w:cstheme="minorBidi"/>
      <w:b/>
      <w:noProof/>
      <w:color w:val="58585B"/>
      <w:sz w:val="20"/>
      <w:szCs w:val="22"/>
    </w:rPr>
  </w:style>
  <w:style w:type="character" w:customStyle="1" w:styleId="NewDateChar">
    <w:name w:val="New_Date Char"/>
    <w:basedOn w:val="DefaultParagraphFont"/>
    <w:link w:val="NewDate"/>
    <w:uiPriority w:val="99"/>
    <w:rsid w:val="006E2B9D"/>
    <w:rPr>
      <w:rFonts w:ascii="Jura" w:hAnsi="Jura"/>
      <w:b/>
      <w:noProof/>
      <w:color w:val="58585B"/>
      <w:sz w:val="20"/>
    </w:rPr>
  </w:style>
  <w:style w:type="paragraph" w:customStyle="1" w:styleId="NewTitle">
    <w:name w:val="New_Title"/>
    <w:basedOn w:val="NewDate"/>
    <w:link w:val="NewTitleChar"/>
    <w:uiPriority w:val="99"/>
    <w:qFormat/>
    <w:rsid w:val="003B28CB"/>
    <w:pPr>
      <w:spacing w:after="0" w:line="216" w:lineRule="auto"/>
      <w:ind w:left="-57"/>
    </w:pPr>
    <w:rPr>
      <w:rFonts w:cs="Calibri-Bold"/>
      <w:bCs/>
      <w:color w:val="939597"/>
      <w:sz w:val="80"/>
      <w:szCs w:val="80"/>
    </w:rPr>
  </w:style>
  <w:style w:type="character" w:customStyle="1" w:styleId="NewTitleChar">
    <w:name w:val="New_Title Char"/>
    <w:basedOn w:val="NewDateChar"/>
    <w:link w:val="NewTitle"/>
    <w:uiPriority w:val="99"/>
    <w:rsid w:val="006E2B9D"/>
    <w:rPr>
      <w:rFonts w:ascii="Jura" w:hAnsi="Jura" w:cs="Calibri-Bold"/>
      <w:b/>
      <w:bCs/>
      <w:noProof/>
      <w:color w:val="939597"/>
      <w:sz w:val="80"/>
      <w:szCs w:val="80"/>
    </w:rPr>
  </w:style>
  <w:style w:type="paragraph" w:customStyle="1" w:styleId="NewSubTitle">
    <w:name w:val="New_Sub Title"/>
    <w:basedOn w:val="NewTitle"/>
    <w:link w:val="NewSubTitleChar"/>
    <w:uiPriority w:val="99"/>
    <w:qFormat/>
    <w:rsid w:val="003B28CB"/>
    <w:pPr>
      <w:spacing w:before="200" w:line="240" w:lineRule="auto"/>
      <w:ind w:left="0"/>
      <w:contextualSpacing/>
    </w:pPr>
    <w:rPr>
      <w:rFonts w:ascii="Open Sans" w:hAnsi="Open Sans" w:cs="Open Sans"/>
      <w:b w:val="0"/>
      <w:sz w:val="24"/>
      <w:szCs w:val="24"/>
    </w:rPr>
  </w:style>
  <w:style w:type="character" w:customStyle="1" w:styleId="NewSubTitleChar">
    <w:name w:val="New_Sub Title Char"/>
    <w:basedOn w:val="NewTitleChar"/>
    <w:link w:val="NewSubTitle"/>
    <w:uiPriority w:val="99"/>
    <w:rsid w:val="006E2B9D"/>
    <w:rPr>
      <w:rFonts w:ascii="Open Sans" w:hAnsi="Open Sans" w:cs="Open Sans"/>
      <w:b w:val="0"/>
      <w:bCs/>
      <w:noProof/>
      <w:color w:val="939597"/>
      <w:sz w:val="24"/>
      <w:szCs w:val="24"/>
    </w:rPr>
  </w:style>
  <w:style w:type="paragraph" w:customStyle="1" w:styleId="NewWebsite">
    <w:name w:val="New_Website"/>
    <w:basedOn w:val="NewDate"/>
    <w:link w:val="NewWebsiteChar"/>
    <w:uiPriority w:val="99"/>
    <w:qFormat/>
    <w:rsid w:val="003B28CB"/>
    <w:pPr>
      <w:jc w:val="right"/>
    </w:pPr>
    <w:rPr>
      <w:color w:val="FFFFFF" w:themeColor="background1"/>
    </w:rPr>
  </w:style>
  <w:style w:type="character" w:customStyle="1" w:styleId="NewWebsiteChar">
    <w:name w:val="New_Website Char"/>
    <w:basedOn w:val="NewDateChar"/>
    <w:link w:val="NewWebsite"/>
    <w:uiPriority w:val="99"/>
    <w:rsid w:val="006E2B9D"/>
    <w:rPr>
      <w:rFonts w:ascii="Jura" w:hAnsi="Jura"/>
      <w:b/>
      <w:noProof/>
      <w:color w:val="FFFFFF" w:themeColor="background1"/>
      <w:sz w:val="20"/>
    </w:rPr>
  </w:style>
  <w:style w:type="paragraph" w:customStyle="1" w:styleId="NewEmailWeb">
    <w:name w:val="New_Email &amp; Web"/>
    <w:basedOn w:val="Normal"/>
    <w:link w:val="NewEmailWebChar"/>
    <w:uiPriority w:val="99"/>
    <w:qFormat/>
    <w:rsid w:val="00B23E4D"/>
    <w:pPr>
      <w:spacing w:after="0" w:line="240" w:lineRule="auto"/>
      <w:jc w:val="left"/>
    </w:pPr>
    <w:rPr>
      <w:rFonts w:ascii="Jura" w:hAnsi="Jura"/>
      <w:b/>
      <w:color w:val="939597"/>
      <w:sz w:val="16"/>
    </w:rPr>
  </w:style>
  <w:style w:type="character" w:customStyle="1" w:styleId="NewEmailWebChar">
    <w:name w:val="New_Email &amp; Web Char"/>
    <w:basedOn w:val="DefaultParagraphFont"/>
    <w:link w:val="NewEmailWeb"/>
    <w:uiPriority w:val="99"/>
    <w:rsid w:val="006E2B9D"/>
    <w:rPr>
      <w:rFonts w:ascii="Jura" w:eastAsia="Times New Roman" w:hAnsi="Jura" w:cs="Times New Roman"/>
      <w:b/>
      <w:color w:val="939597"/>
      <w:sz w:val="16"/>
      <w:szCs w:val="20"/>
    </w:rPr>
  </w:style>
  <w:style w:type="paragraph" w:customStyle="1" w:styleId="Website">
    <w:name w:val="Website"/>
    <w:basedOn w:val="Normal"/>
    <w:link w:val="WebsiteChar"/>
    <w:rsid w:val="00CB697F"/>
    <w:pPr>
      <w:spacing w:after="240" w:line="240" w:lineRule="auto"/>
      <w:jc w:val="right"/>
    </w:pPr>
    <w:rPr>
      <w:rFonts w:ascii="Jura" w:hAnsi="Jura"/>
      <w:b/>
      <w:noProof/>
      <w:color w:val="FFFFFF" w:themeColor="background1"/>
      <w:sz w:val="20"/>
    </w:rPr>
  </w:style>
  <w:style w:type="character" w:customStyle="1" w:styleId="WebsiteChar">
    <w:name w:val="Website Char"/>
    <w:basedOn w:val="DefaultParagraphFont"/>
    <w:link w:val="Website"/>
    <w:rsid w:val="00CB697F"/>
    <w:rPr>
      <w:rFonts w:ascii="Jura" w:eastAsia="Times New Roman" w:hAnsi="Jura" w:cs="Times New Roman"/>
      <w:b/>
      <w:noProof/>
      <w:color w:val="FFFFFF" w:themeColor="background1"/>
      <w:sz w:val="20"/>
      <w:szCs w:val="20"/>
    </w:rPr>
  </w:style>
  <w:style w:type="paragraph" w:customStyle="1" w:styleId="Sub-TitleInfo">
    <w:name w:val="Sub-Title Info"/>
    <w:basedOn w:val="Normal"/>
    <w:link w:val="Sub-TitleInfoChar"/>
    <w:rsid w:val="00CB697F"/>
    <w:pPr>
      <w:spacing w:before="200" w:after="0" w:line="240" w:lineRule="auto"/>
      <w:contextualSpacing/>
    </w:pPr>
    <w:rPr>
      <w:rFonts w:cs="Open Sans"/>
      <w:bCs/>
      <w:noProof/>
      <w:color w:val="939597"/>
      <w:sz w:val="24"/>
      <w:szCs w:val="24"/>
    </w:rPr>
  </w:style>
  <w:style w:type="character" w:customStyle="1" w:styleId="Sub-TitleInfoChar">
    <w:name w:val="Sub-Title Info Char"/>
    <w:basedOn w:val="DefaultParagraphFont"/>
    <w:link w:val="Sub-TitleInfo"/>
    <w:rsid w:val="00CB697F"/>
    <w:rPr>
      <w:rFonts w:ascii="Open Sans" w:eastAsia="Times New Roman" w:hAnsi="Open Sans" w:cs="Open Sans"/>
      <w:bCs/>
      <w:noProof/>
      <w:color w:val="939597"/>
      <w:sz w:val="24"/>
      <w:szCs w:val="24"/>
    </w:rPr>
  </w:style>
  <w:style w:type="paragraph" w:customStyle="1" w:styleId="NewTagline">
    <w:name w:val="New_Tagline"/>
    <w:basedOn w:val="Normal"/>
    <w:link w:val="NewTaglineChar"/>
    <w:uiPriority w:val="99"/>
    <w:qFormat/>
    <w:rsid w:val="00EA23BE"/>
    <w:pPr>
      <w:spacing w:after="0" w:line="240" w:lineRule="auto"/>
      <w:jc w:val="center"/>
    </w:pPr>
    <w:rPr>
      <w:rFonts w:ascii="Jura" w:hAnsi="Jura" w:cs="Calibri-Bold"/>
      <w:b/>
      <w:bCs/>
      <w:noProof/>
      <w:color w:val="EFA261"/>
      <w:sz w:val="40"/>
      <w:szCs w:val="40"/>
    </w:rPr>
  </w:style>
  <w:style w:type="paragraph" w:customStyle="1" w:styleId="NewWeb">
    <w:name w:val="New_Web"/>
    <w:basedOn w:val="Sub-TitleInfo"/>
    <w:link w:val="NewWebChar"/>
    <w:uiPriority w:val="99"/>
    <w:qFormat/>
    <w:rsid w:val="00CB697F"/>
    <w:pPr>
      <w:spacing w:before="0"/>
    </w:pPr>
    <w:rPr>
      <w:color w:val="FFFFFF" w:themeColor="background1"/>
      <w:sz w:val="20"/>
      <w:szCs w:val="20"/>
    </w:rPr>
  </w:style>
  <w:style w:type="character" w:customStyle="1" w:styleId="NewTaglineChar">
    <w:name w:val="New_Tagline Char"/>
    <w:basedOn w:val="DefaultParagraphFont"/>
    <w:link w:val="NewTagline"/>
    <w:uiPriority w:val="99"/>
    <w:rsid w:val="0010689E"/>
    <w:rPr>
      <w:rFonts w:ascii="Jura" w:eastAsia="Times New Roman" w:hAnsi="Jura" w:cs="Calibri-Bold"/>
      <w:b/>
      <w:bCs/>
      <w:noProof/>
      <w:color w:val="EFA261"/>
      <w:sz w:val="40"/>
      <w:szCs w:val="40"/>
    </w:rPr>
  </w:style>
  <w:style w:type="character" w:customStyle="1" w:styleId="NewWebChar">
    <w:name w:val="New_Web Char"/>
    <w:basedOn w:val="Sub-TitleInfoChar"/>
    <w:link w:val="NewWeb"/>
    <w:uiPriority w:val="99"/>
    <w:rsid w:val="006E2B9D"/>
    <w:rPr>
      <w:rFonts w:ascii="Open Sans" w:eastAsia="Times New Roman" w:hAnsi="Open Sans" w:cs="Open Sans"/>
      <w:bCs/>
      <w:noProof/>
      <w:color w:val="FFFFFF" w:themeColor="background1"/>
      <w:sz w:val="20"/>
      <w:szCs w:val="20"/>
    </w:rPr>
  </w:style>
  <w:style w:type="paragraph" w:customStyle="1" w:styleId="Default">
    <w:name w:val="Default"/>
    <w:rsid w:val="00E15426"/>
    <w:pPr>
      <w:autoSpaceDE w:val="0"/>
      <w:autoSpaceDN w:val="0"/>
      <w:adjustRightInd w:val="0"/>
      <w:spacing w:after="0" w:line="240" w:lineRule="auto"/>
    </w:pPr>
    <w:rPr>
      <w:rFonts w:ascii="Arial" w:hAnsi="Arial" w:cs="Arial"/>
      <w:color w:val="000000"/>
      <w:sz w:val="24"/>
      <w:szCs w:val="24"/>
    </w:rPr>
  </w:style>
  <w:style w:type="numbering" w:customStyle="1" w:styleId="Macquarienumberedlist">
    <w:name w:val="Macquarie numbered list"/>
    <w:uiPriority w:val="99"/>
    <w:rsid w:val="00B22491"/>
    <w:pPr>
      <w:numPr>
        <w:numId w:val="25"/>
      </w:numPr>
    </w:pPr>
  </w:style>
  <w:style w:type="paragraph" w:customStyle="1" w:styleId="Tableheaderrow">
    <w:name w:val="Table header row"/>
    <w:basedOn w:val="Normal"/>
    <w:next w:val="BodyText"/>
    <w:rsid w:val="00CE2C38"/>
    <w:pPr>
      <w:keepNext/>
      <w:widowControl/>
      <w:overflowPunct w:val="0"/>
      <w:spacing w:before="40" w:after="40" w:line="240" w:lineRule="auto"/>
      <w:jc w:val="center"/>
      <w:textAlignment w:val="baseline"/>
    </w:pPr>
    <w:rPr>
      <w:rFonts w:asciiTheme="majorHAnsi" w:hAnsiTheme="majorHAnsi"/>
      <w:bCs/>
      <w:sz w:val="18"/>
      <w:lang w:val="en-AU"/>
    </w:rPr>
  </w:style>
  <w:style w:type="paragraph" w:customStyle="1" w:styleId="Tabletext0">
    <w:name w:val="Table text"/>
    <w:basedOn w:val="Normal"/>
    <w:rsid w:val="00CE2C38"/>
    <w:pPr>
      <w:widowControl/>
      <w:overflowPunct w:val="0"/>
      <w:spacing w:before="20" w:after="20" w:line="220" w:lineRule="atLeast"/>
      <w:jc w:val="left"/>
      <w:textAlignment w:val="baseline"/>
    </w:pPr>
    <w:rPr>
      <w:rFonts w:asciiTheme="minorHAnsi" w:hAnsiTheme="minorHAnsi"/>
      <w:sz w:val="18"/>
      <w:szCs w:val="18"/>
      <w:lang w:val="en-AU"/>
    </w:rPr>
  </w:style>
  <w:style w:type="table" w:customStyle="1" w:styleId="ListTable4-Accent61">
    <w:name w:val="List Table 4 - Accent 61"/>
    <w:basedOn w:val="TableNormal"/>
    <w:uiPriority w:val="49"/>
    <w:rsid w:val="00CE2C38"/>
    <w:pPr>
      <w:spacing w:after="0" w:line="240" w:lineRule="auto"/>
    </w:pPr>
    <w:rPr>
      <w:rFonts w:ascii="Times New Roman" w:eastAsia="Times New Roman" w:hAnsi="Times New Roman" w:cs="Times New Roman"/>
      <w:sz w:val="20"/>
      <w:szCs w:val="20"/>
      <w:lang w:val="en-AU" w:eastAsia="en-AU"/>
    </w:rPr>
    <w:tblPr>
      <w:tblStyleRowBandSize w:val="1"/>
      <w:tblStyleColBandSize w:val="1"/>
      <w:tblBorders>
        <w:top w:val="single" w:sz="4" w:space="0" w:color="93C573" w:themeColor="accent6" w:themeTint="99"/>
        <w:left w:val="single" w:sz="4" w:space="0" w:color="93C573" w:themeColor="accent6" w:themeTint="99"/>
        <w:bottom w:val="single" w:sz="4" w:space="0" w:color="93C573" w:themeColor="accent6" w:themeTint="99"/>
        <w:right w:val="single" w:sz="4" w:space="0" w:color="93C573" w:themeColor="accent6" w:themeTint="99"/>
        <w:insideH w:val="single" w:sz="4" w:space="0" w:color="93C573" w:themeColor="accent6" w:themeTint="99"/>
      </w:tblBorders>
    </w:tblPr>
    <w:tblStylePr w:type="firstRow">
      <w:rPr>
        <w:b/>
        <w:bCs/>
        <w:color w:val="FFFFFF" w:themeColor="background1"/>
      </w:rPr>
      <w:tblPr/>
      <w:tcPr>
        <w:tcBorders>
          <w:top w:val="single" w:sz="4" w:space="0" w:color="538135" w:themeColor="accent6"/>
          <w:left w:val="single" w:sz="4" w:space="0" w:color="538135" w:themeColor="accent6"/>
          <w:bottom w:val="single" w:sz="4" w:space="0" w:color="538135" w:themeColor="accent6"/>
          <w:right w:val="single" w:sz="4" w:space="0" w:color="538135" w:themeColor="accent6"/>
          <w:insideH w:val="nil"/>
        </w:tcBorders>
        <w:shd w:val="clear" w:color="auto" w:fill="538135" w:themeFill="accent6"/>
      </w:tcPr>
    </w:tblStylePr>
    <w:tblStylePr w:type="lastRow">
      <w:rPr>
        <w:b/>
        <w:bCs/>
      </w:rPr>
      <w:tblPr/>
      <w:tcPr>
        <w:tcBorders>
          <w:top w:val="double" w:sz="4" w:space="0" w:color="93C573" w:themeColor="accent6" w:themeTint="99"/>
        </w:tcBorders>
      </w:tcPr>
    </w:tblStylePr>
    <w:tblStylePr w:type="firstCol">
      <w:rPr>
        <w:b/>
        <w:bCs/>
      </w:rPr>
    </w:tblStylePr>
    <w:tblStylePr w:type="lastCol">
      <w:rPr>
        <w:b/>
        <w:bCs/>
      </w:rPr>
    </w:tblStylePr>
    <w:tblStylePr w:type="band1Vert">
      <w:tblPr/>
      <w:tcPr>
        <w:shd w:val="clear" w:color="auto" w:fill="DBECD0" w:themeFill="accent6" w:themeFillTint="33"/>
      </w:tcPr>
    </w:tblStylePr>
    <w:tblStylePr w:type="band1Horz">
      <w:tblPr/>
      <w:tcPr>
        <w:shd w:val="clear" w:color="auto" w:fill="DBECD0" w:themeFill="accent6" w:themeFillTint="33"/>
      </w:tcPr>
    </w:tblStylePr>
  </w:style>
  <w:style w:type="paragraph" w:styleId="BodyText">
    <w:name w:val="Body Text"/>
    <w:basedOn w:val="Normal"/>
    <w:link w:val="BodyTextChar"/>
    <w:uiPriority w:val="99"/>
    <w:unhideWhenUsed/>
    <w:rsid w:val="00CE2C38"/>
    <w:pPr>
      <w:spacing w:after="120"/>
    </w:pPr>
  </w:style>
  <w:style w:type="character" w:customStyle="1" w:styleId="BodyTextChar">
    <w:name w:val="Body Text Char"/>
    <w:basedOn w:val="DefaultParagraphFont"/>
    <w:link w:val="BodyText"/>
    <w:uiPriority w:val="99"/>
    <w:rsid w:val="00CE2C38"/>
    <w:rPr>
      <w:rFonts w:ascii="Open Sans" w:eastAsia="Times New Roman" w:hAnsi="Open Sans" w:cs="Times New Roman"/>
      <w:color w:val="000000" w:themeColor="text1"/>
      <w:szCs w:val="20"/>
    </w:rPr>
  </w:style>
  <w:style w:type="paragraph" w:styleId="ListParagraph">
    <w:name w:val="List Paragraph"/>
    <w:basedOn w:val="Normal"/>
    <w:uiPriority w:val="34"/>
    <w:rsid w:val="00A61859"/>
    <w:pPr>
      <w:ind w:left="720"/>
      <w:contextualSpacing/>
    </w:pPr>
  </w:style>
  <w:style w:type="numbering" w:customStyle="1" w:styleId="Macquarienumberedlist1">
    <w:name w:val="Macquarie numbered list1"/>
    <w:uiPriority w:val="99"/>
    <w:rsid w:val="007E2249"/>
  </w:style>
  <w:style w:type="character" w:customStyle="1" w:styleId="Bodycharacterstylebold">
    <w:name w:val="Body character style bold"/>
    <w:basedOn w:val="DefaultParagraphFont"/>
    <w:rsid w:val="007E2249"/>
    <w:rPr>
      <w:rFonts w:ascii="HelveticaNeue LT 45 Lt" w:hAnsi="HelveticaNeue LT 45 Lt"/>
      <w:b/>
      <w:color w:val="333333"/>
    </w:rPr>
  </w:style>
  <w:style w:type="paragraph" w:customStyle="1" w:styleId="Footerright">
    <w:name w:val="Footer right"/>
    <w:basedOn w:val="Footer"/>
    <w:qFormat/>
    <w:rsid w:val="007E2249"/>
    <w:pPr>
      <w:widowControl/>
      <w:tabs>
        <w:tab w:val="clear" w:pos="4320"/>
        <w:tab w:val="clear" w:pos="8640"/>
      </w:tabs>
      <w:autoSpaceDE/>
      <w:autoSpaceDN/>
      <w:adjustRightInd/>
      <w:spacing w:before="64" w:after="84" w:line="240" w:lineRule="auto"/>
      <w:ind w:left="28"/>
      <w:jc w:val="right"/>
    </w:pPr>
    <w:rPr>
      <w:rFonts w:ascii="HelveticaNeue LT 45 Lt" w:hAnsi="HelveticaNeue LT 45 Lt"/>
      <w:noProof/>
      <w:sz w:val="16"/>
      <w:szCs w:val="16"/>
      <w:lang w:val="en-AU"/>
    </w:rPr>
  </w:style>
  <w:style w:type="paragraph" w:styleId="TOCHeading">
    <w:name w:val="TOC Heading"/>
    <w:basedOn w:val="Heading1"/>
    <w:next w:val="Normal"/>
    <w:uiPriority w:val="39"/>
    <w:unhideWhenUsed/>
    <w:qFormat/>
    <w:rsid w:val="00077616"/>
    <w:pPr>
      <w:keepLines/>
      <w:widowControl/>
      <w:autoSpaceDE/>
      <w:autoSpaceDN/>
      <w:adjustRightInd/>
      <w:spacing w:after="0" w:line="259" w:lineRule="auto"/>
      <w:outlineLvl w:val="9"/>
    </w:pPr>
    <w:rPr>
      <w:rFonts w:asciiTheme="majorHAnsi" w:eastAsiaTheme="majorEastAsia" w:hAnsiTheme="majorHAnsi" w:cstheme="majorBidi"/>
      <w:b w:val="0"/>
      <w:color w:val="E47417" w:themeColor="accent1" w:themeShade="BF"/>
      <w:kern w:val="0"/>
      <w:sz w:val="32"/>
      <w:szCs w:val="32"/>
    </w:rPr>
  </w:style>
  <w:style w:type="character" w:styleId="FollowedHyperlink">
    <w:name w:val="FollowedHyperlink"/>
    <w:basedOn w:val="DefaultParagraphFont"/>
    <w:uiPriority w:val="99"/>
    <w:semiHidden/>
    <w:unhideWhenUsed/>
    <w:rsid w:val="00F45D8B"/>
    <w:rPr>
      <w:color w:val="954F72" w:themeColor="followedHyperlink"/>
      <w:u w:val="single"/>
    </w:rPr>
  </w:style>
  <w:style w:type="table" w:styleId="GridTable4-Accent1">
    <w:name w:val="Grid Table 4 Accent 1"/>
    <w:basedOn w:val="TableNormal"/>
    <w:uiPriority w:val="49"/>
    <w:rsid w:val="0073450D"/>
    <w:pPr>
      <w:spacing w:after="0" w:line="240" w:lineRule="auto"/>
    </w:pPr>
    <w:tblPr>
      <w:tblStyleRowBandSize w:val="1"/>
      <w:tblStyleColBandSize w:val="1"/>
      <w:tblBorders>
        <w:top w:val="single" w:sz="4" w:space="0" w:color="F5C69F" w:themeColor="accent1" w:themeTint="99"/>
        <w:left w:val="single" w:sz="4" w:space="0" w:color="F5C69F" w:themeColor="accent1" w:themeTint="99"/>
        <w:bottom w:val="single" w:sz="4" w:space="0" w:color="F5C69F" w:themeColor="accent1" w:themeTint="99"/>
        <w:right w:val="single" w:sz="4" w:space="0" w:color="F5C69F" w:themeColor="accent1" w:themeTint="99"/>
        <w:insideH w:val="single" w:sz="4" w:space="0" w:color="F5C69F" w:themeColor="accent1" w:themeTint="99"/>
        <w:insideV w:val="single" w:sz="4" w:space="0" w:color="F5C69F" w:themeColor="accent1" w:themeTint="99"/>
      </w:tblBorders>
    </w:tblPr>
    <w:tblStylePr w:type="firstRow">
      <w:rPr>
        <w:b/>
        <w:bCs/>
        <w:color w:val="FFFFFF" w:themeColor="background1"/>
      </w:rPr>
      <w:tblPr/>
      <w:tcPr>
        <w:tcBorders>
          <w:top w:val="single" w:sz="4" w:space="0" w:color="EFA261" w:themeColor="accent1"/>
          <w:left w:val="single" w:sz="4" w:space="0" w:color="EFA261" w:themeColor="accent1"/>
          <w:bottom w:val="single" w:sz="4" w:space="0" w:color="EFA261" w:themeColor="accent1"/>
          <w:right w:val="single" w:sz="4" w:space="0" w:color="EFA261" w:themeColor="accent1"/>
          <w:insideH w:val="nil"/>
          <w:insideV w:val="nil"/>
        </w:tcBorders>
        <w:shd w:val="clear" w:color="auto" w:fill="EFA261" w:themeFill="accent1"/>
      </w:tcPr>
    </w:tblStylePr>
    <w:tblStylePr w:type="lastRow">
      <w:rPr>
        <w:b/>
        <w:bCs/>
      </w:rPr>
      <w:tblPr/>
      <w:tcPr>
        <w:tcBorders>
          <w:top w:val="double" w:sz="4" w:space="0" w:color="EFA261" w:themeColor="accent1"/>
        </w:tcBorders>
      </w:tcPr>
    </w:tblStylePr>
    <w:tblStylePr w:type="firstCol">
      <w:rPr>
        <w:b/>
        <w:bCs/>
      </w:rPr>
    </w:tblStylePr>
    <w:tblStylePr w:type="lastCol">
      <w:rPr>
        <w:b/>
        <w:bCs/>
      </w:rPr>
    </w:tblStylePr>
    <w:tblStylePr w:type="band1Vert">
      <w:tblPr/>
      <w:tcPr>
        <w:shd w:val="clear" w:color="auto" w:fill="FBECDF" w:themeFill="accent1" w:themeFillTint="33"/>
      </w:tcPr>
    </w:tblStylePr>
    <w:tblStylePr w:type="band1Horz">
      <w:tblPr/>
      <w:tcPr>
        <w:shd w:val="clear" w:color="auto" w:fill="FBECDF" w:themeFill="accent1" w:themeFillTint="33"/>
      </w:tcPr>
    </w:tblStylePr>
  </w:style>
  <w:style w:type="character" w:styleId="CommentReference">
    <w:name w:val="annotation reference"/>
    <w:basedOn w:val="DefaultParagraphFont"/>
    <w:uiPriority w:val="99"/>
    <w:semiHidden/>
    <w:unhideWhenUsed/>
    <w:rsid w:val="00431119"/>
    <w:rPr>
      <w:sz w:val="16"/>
      <w:szCs w:val="16"/>
    </w:rPr>
  </w:style>
  <w:style w:type="paragraph" w:styleId="CommentText">
    <w:name w:val="annotation text"/>
    <w:basedOn w:val="Normal"/>
    <w:link w:val="CommentTextChar"/>
    <w:uiPriority w:val="99"/>
    <w:semiHidden/>
    <w:unhideWhenUsed/>
    <w:rsid w:val="00431119"/>
    <w:pPr>
      <w:spacing w:line="240" w:lineRule="auto"/>
    </w:pPr>
    <w:rPr>
      <w:sz w:val="20"/>
    </w:rPr>
  </w:style>
  <w:style w:type="character" w:customStyle="1" w:styleId="CommentTextChar">
    <w:name w:val="Comment Text Char"/>
    <w:basedOn w:val="DefaultParagraphFont"/>
    <w:link w:val="CommentText"/>
    <w:uiPriority w:val="99"/>
    <w:semiHidden/>
    <w:rsid w:val="00431119"/>
    <w:rPr>
      <w:rFonts w:ascii="Open Sans" w:eastAsia="Times New Roman" w:hAnsi="Open Sans"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31119"/>
    <w:rPr>
      <w:b/>
      <w:bCs/>
    </w:rPr>
  </w:style>
  <w:style w:type="character" w:customStyle="1" w:styleId="CommentSubjectChar">
    <w:name w:val="Comment Subject Char"/>
    <w:basedOn w:val="CommentTextChar"/>
    <w:link w:val="CommentSubject"/>
    <w:uiPriority w:val="99"/>
    <w:semiHidden/>
    <w:rsid w:val="00431119"/>
    <w:rPr>
      <w:rFonts w:ascii="Open Sans" w:eastAsia="Times New Roman" w:hAnsi="Open Sans" w:cs="Times New Roman"/>
      <w:b/>
      <w:bCs/>
      <w:color w:val="000000" w:themeColor="text1"/>
      <w:sz w:val="20"/>
      <w:szCs w:val="20"/>
    </w:rPr>
  </w:style>
  <w:style w:type="table" w:styleId="GridTable5Dark-Accent1">
    <w:name w:val="Grid Table 5 Dark Accent 1"/>
    <w:basedOn w:val="TableNormal"/>
    <w:uiPriority w:val="50"/>
    <w:rsid w:val="002756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CD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A2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A2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A2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A261" w:themeFill="accent1"/>
      </w:tcPr>
    </w:tblStylePr>
    <w:tblStylePr w:type="band1Vert">
      <w:tblPr/>
      <w:tcPr>
        <w:shd w:val="clear" w:color="auto" w:fill="F8D9BF" w:themeFill="accent1" w:themeFillTint="66"/>
      </w:tcPr>
    </w:tblStylePr>
    <w:tblStylePr w:type="band1Horz">
      <w:tblPr/>
      <w:tcPr>
        <w:shd w:val="clear" w:color="auto" w:fill="F8D9BF" w:themeFill="accent1" w:themeFillTint="66"/>
      </w:tcPr>
    </w:tblStylePr>
  </w:style>
  <w:style w:type="table" w:styleId="ListTable3-Accent1">
    <w:name w:val="List Table 3 Accent 1"/>
    <w:basedOn w:val="TableNormal"/>
    <w:uiPriority w:val="48"/>
    <w:rsid w:val="00275646"/>
    <w:pPr>
      <w:spacing w:after="0" w:line="240" w:lineRule="auto"/>
    </w:pPr>
    <w:tblPr>
      <w:tblStyleRowBandSize w:val="1"/>
      <w:tblStyleColBandSize w:val="1"/>
      <w:tblBorders>
        <w:top w:val="single" w:sz="4" w:space="0" w:color="EFA261" w:themeColor="accent1"/>
        <w:left w:val="single" w:sz="4" w:space="0" w:color="EFA261" w:themeColor="accent1"/>
        <w:bottom w:val="single" w:sz="4" w:space="0" w:color="EFA261" w:themeColor="accent1"/>
        <w:right w:val="single" w:sz="4" w:space="0" w:color="EFA261" w:themeColor="accent1"/>
      </w:tblBorders>
    </w:tblPr>
    <w:tblStylePr w:type="firstRow">
      <w:rPr>
        <w:b/>
        <w:bCs/>
        <w:color w:val="FFFFFF" w:themeColor="background1"/>
      </w:rPr>
      <w:tblPr/>
      <w:tcPr>
        <w:shd w:val="clear" w:color="auto" w:fill="EFA261" w:themeFill="accent1"/>
      </w:tcPr>
    </w:tblStylePr>
    <w:tblStylePr w:type="lastRow">
      <w:rPr>
        <w:b/>
        <w:bCs/>
      </w:rPr>
      <w:tblPr/>
      <w:tcPr>
        <w:tcBorders>
          <w:top w:val="double" w:sz="4" w:space="0" w:color="EFA26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A261" w:themeColor="accent1"/>
          <w:right w:val="single" w:sz="4" w:space="0" w:color="EFA261" w:themeColor="accent1"/>
        </w:tcBorders>
      </w:tcPr>
    </w:tblStylePr>
    <w:tblStylePr w:type="band1Horz">
      <w:tblPr/>
      <w:tcPr>
        <w:tcBorders>
          <w:top w:val="single" w:sz="4" w:space="0" w:color="EFA261" w:themeColor="accent1"/>
          <w:bottom w:val="single" w:sz="4" w:space="0" w:color="EFA26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A261" w:themeColor="accent1"/>
          <w:left w:val="nil"/>
        </w:tcBorders>
      </w:tcPr>
    </w:tblStylePr>
    <w:tblStylePr w:type="swCell">
      <w:tblPr/>
      <w:tcPr>
        <w:tcBorders>
          <w:top w:val="double" w:sz="4" w:space="0" w:color="EFA261" w:themeColor="accent1"/>
          <w:right w:val="nil"/>
        </w:tcBorders>
      </w:tcPr>
    </w:tblStylePr>
  </w:style>
  <w:style w:type="table" w:styleId="ListTable4-Accent1">
    <w:name w:val="List Table 4 Accent 1"/>
    <w:basedOn w:val="TableNormal"/>
    <w:uiPriority w:val="49"/>
    <w:rsid w:val="00275646"/>
    <w:pPr>
      <w:spacing w:after="0" w:line="240" w:lineRule="auto"/>
    </w:pPr>
    <w:tblPr>
      <w:tblStyleRowBandSize w:val="1"/>
      <w:tblStyleColBandSize w:val="1"/>
      <w:tblBorders>
        <w:top w:val="single" w:sz="4" w:space="0" w:color="F5C69F" w:themeColor="accent1" w:themeTint="99"/>
        <w:left w:val="single" w:sz="4" w:space="0" w:color="F5C69F" w:themeColor="accent1" w:themeTint="99"/>
        <w:bottom w:val="single" w:sz="4" w:space="0" w:color="F5C69F" w:themeColor="accent1" w:themeTint="99"/>
        <w:right w:val="single" w:sz="4" w:space="0" w:color="F5C69F" w:themeColor="accent1" w:themeTint="99"/>
        <w:insideH w:val="single" w:sz="4" w:space="0" w:color="F5C69F" w:themeColor="accent1" w:themeTint="99"/>
      </w:tblBorders>
    </w:tblPr>
    <w:tblStylePr w:type="firstRow">
      <w:rPr>
        <w:b/>
        <w:bCs/>
        <w:color w:val="FFFFFF" w:themeColor="background1"/>
      </w:rPr>
      <w:tblPr/>
      <w:tcPr>
        <w:tcBorders>
          <w:top w:val="single" w:sz="4" w:space="0" w:color="EFA261" w:themeColor="accent1"/>
          <w:left w:val="single" w:sz="4" w:space="0" w:color="EFA261" w:themeColor="accent1"/>
          <w:bottom w:val="single" w:sz="4" w:space="0" w:color="EFA261" w:themeColor="accent1"/>
          <w:right w:val="single" w:sz="4" w:space="0" w:color="EFA261" w:themeColor="accent1"/>
          <w:insideH w:val="nil"/>
        </w:tcBorders>
        <w:shd w:val="clear" w:color="auto" w:fill="EFA261" w:themeFill="accent1"/>
      </w:tcPr>
    </w:tblStylePr>
    <w:tblStylePr w:type="lastRow">
      <w:rPr>
        <w:b/>
        <w:bCs/>
      </w:rPr>
      <w:tblPr/>
      <w:tcPr>
        <w:tcBorders>
          <w:top w:val="double" w:sz="4" w:space="0" w:color="F5C69F" w:themeColor="accent1" w:themeTint="99"/>
        </w:tcBorders>
      </w:tcPr>
    </w:tblStylePr>
    <w:tblStylePr w:type="firstCol">
      <w:rPr>
        <w:b/>
        <w:bCs/>
      </w:rPr>
    </w:tblStylePr>
    <w:tblStylePr w:type="lastCol">
      <w:rPr>
        <w:b/>
        <w:bCs/>
      </w:rPr>
    </w:tblStylePr>
    <w:tblStylePr w:type="band1Vert">
      <w:tblPr/>
      <w:tcPr>
        <w:shd w:val="clear" w:color="auto" w:fill="FBECDF" w:themeFill="accent1" w:themeFillTint="33"/>
      </w:tcPr>
    </w:tblStylePr>
    <w:tblStylePr w:type="band1Horz">
      <w:tblPr/>
      <w:tcPr>
        <w:shd w:val="clear" w:color="auto" w:fill="FBECDF" w:themeFill="accent1" w:themeFillTint="33"/>
      </w:tcPr>
    </w:tblStylePr>
  </w:style>
  <w:style w:type="table" w:styleId="ListTable5Dark-Accent1">
    <w:name w:val="List Table 5 Dark Accent 1"/>
    <w:basedOn w:val="TableNormal"/>
    <w:uiPriority w:val="50"/>
    <w:rsid w:val="0004312C"/>
    <w:pPr>
      <w:spacing w:after="0" w:line="240" w:lineRule="auto"/>
    </w:pPr>
    <w:rPr>
      <w:color w:val="FFFFFF" w:themeColor="background1"/>
    </w:rPr>
    <w:tblPr>
      <w:tblStyleRowBandSize w:val="1"/>
      <w:tblStyleColBandSize w:val="1"/>
      <w:tblBorders>
        <w:top w:val="single" w:sz="24" w:space="0" w:color="EFA261" w:themeColor="accent1"/>
        <w:left w:val="single" w:sz="24" w:space="0" w:color="EFA261" w:themeColor="accent1"/>
        <w:bottom w:val="single" w:sz="24" w:space="0" w:color="EFA261" w:themeColor="accent1"/>
        <w:right w:val="single" w:sz="24" w:space="0" w:color="EFA261" w:themeColor="accent1"/>
      </w:tblBorders>
    </w:tblPr>
    <w:tcPr>
      <w:shd w:val="clear" w:color="auto" w:fill="EFA26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1">
    <w:name w:val="Table Grid1"/>
    <w:basedOn w:val="TableNormal"/>
    <w:next w:val="TableGrid"/>
    <w:uiPriority w:val="39"/>
    <w:rsid w:val="00345B81"/>
    <w:pPr>
      <w:spacing w:after="0" w:line="240" w:lineRule="auto"/>
    </w:pPr>
    <w:rPr>
      <w:rFonts w:ascii="Calibri" w:eastAsia="Calibri" w:hAnsi="Calibri" w:cs="Arial"/>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rsightTable1">
    <w:name w:val="Farsight Table1"/>
    <w:basedOn w:val="TableNormal"/>
    <w:uiPriority w:val="99"/>
    <w:rsid w:val="00194740"/>
    <w:pPr>
      <w:spacing w:before="40" w:after="40" w:line="240" w:lineRule="auto"/>
    </w:pPr>
    <w:rPr>
      <w:rFonts w:ascii="Arial" w:eastAsia="Times New Roman" w:hAnsi="Arial" w:cs="Times New Roman"/>
      <w:sz w:val="20"/>
      <w:szCs w:val="20"/>
      <w:lang w:val="en-AU"/>
    </w:rPr>
    <w:tblPr>
      <w:tblStyleRowBandSize w:val="1"/>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vAlign w:val="center"/>
    </w:tcPr>
    <w:tblStylePr w:type="firstRow">
      <w:rPr>
        <w:b/>
      </w:rPr>
      <w:tblPr/>
      <w:tcPr>
        <w:shd w:val="clear" w:color="auto" w:fill="EFA261"/>
      </w:tcPr>
    </w:tblStylePr>
    <w:tblStylePr w:type="firstCol">
      <w:rPr>
        <w:b/>
      </w:rPr>
    </w:tblStylePr>
    <w:tblStylePr w:type="band2Horz">
      <w:tblPr/>
      <w:tcPr>
        <w:shd w:val="clear" w:color="auto" w:fill="F8D9BF"/>
      </w:tcPr>
    </w:tblStylePr>
  </w:style>
  <w:style w:type="table" w:styleId="ListTable1Light-Accent1">
    <w:name w:val="List Table 1 Light Accent 1"/>
    <w:basedOn w:val="TableNormal"/>
    <w:uiPriority w:val="46"/>
    <w:rsid w:val="005219C3"/>
    <w:pPr>
      <w:spacing w:after="0" w:line="240" w:lineRule="auto"/>
    </w:pPr>
    <w:tblPr>
      <w:tblStyleRowBandSize w:val="1"/>
      <w:tblStyleColBandSize w:val="1"/>
    </w:tblPr>
    <w:tblStylePr w:type="firstRow">
      <w:rPr>
        <w:b/>
        <w:bCs/>
      </w:rPr>
      <w:tblPr/>
      <w:tcPr>
        <w:tcBorders>
          <w:bottom w:val="single" w:sz="4" w:space="0" w:color="F5C69F" w:themeColor="accent1" w:themeTint="99"/>
        </w:tcBorders>
      </w:tcPr>
    </w:tblStylePr>
    <w:tblStylePr w:type="lastRow">
      <w:rPr>
        <w:b/>
        <w:bCs/>
      </w:rPr>
      <w:tblPr/>
      <w:tcPr>
        <w:tcBorders>
          <w:top w:val="single" w:sz="4" w:space="0" w:color="F5C69F" w:themeColor="accent1" w:themeTint="99"/>
        </w:tcBorders>
      </w:tcPr>
    </w:tblStylePr>
    <w:tblStylePr w:type="firstCol">
      <w:rPr>
        <w:b/>
        <w:bCs/>
      </w:rPr>
    </w:tblStylePr>
    <w:tblStylePr w:type="lastCol">
      <w:rPr>
        <w:b/>
        <w:bCs/>
      </w:rPr>
    </w:tblStylePr>
    <w:tblStylePr w:type="band1Vert">
      <w:tblPr/>
      <w:tcPr>
        <w:shd w:val="clear" w:color="auto" w:fill="FBECDF" w:themeFill="accent1" w:themeFillTint="33"/>
      </w:tcPr>
    </w:tblStylePr>
    <w:tblStylePr w:type="band1Horz">
      <w:tblPr/>
      <w:tcPr>
        <w:shd w:val="clear" w:color="auto" w:fill="FBECD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469">
      <w:bodyDiv w:val="1"/>
      <w:marLeft w:val="0"/>
      <w:marRight w:val="0"/>
      <w:marTop w:val="0"/>
      <w:marBottom w:val="0"/>
      <w:divBdr>
        <w:top w:val="none" w:sz="0" w:space="0" w:color="auto"/>
        <w:left w:val="none" w:sz="0" w:space="0" w:color="auto"/>
        <w:bottom w:val="none" w:sz="0" w:space="0" w:color="auto"/>
        <w:right w:val="none" w:sz="0" w:space="0" w:color="auto"/>
      </w:divBdr>
    </w:div>
    <w:div w:id="43720681">
      <w:bodyDiv w:val="1"/>
      <w:marLeft w:val="0"/>
      <w:marRight w:val="0"/>
      <w:marTop w:val="0"/>
      <w:marBottom w:val="0"/>
      <w:divBdr>
        <w:top w:val="none" w:sz="0" w:space="0" w:color="auto"/>
        <w:left w:val="none" w:sz="0" w:space="0" w:color="auto"/>
        <w:bottom w:val="none" w:sz="0" w:space="0" w:color="auto"/>
        <w:right w:val="none" w:sz="0" w:space="0" w:color="auto"/>
      </w:divBdr>
    </w:div>
    <w:div w:id="196742378">
      <w:bodyDiv w:val="1"/>
      <w:marLeft w:val="0"/>
      <w:marRight w:val="0"/>
      <w:marTop w:val="0"/>
      <w:marBottom w:val="0"/>
      <w:divBdr>
        <w:top w:val="none" w:sz="0" w:space="0" w:color="auto"/>
        <w:left w:val="none" w:sz="0" w:space="0" w:color="auto"/>
        <w:bottom w:val="none" w:sz="0" w:space="0" w:color="auto"/>
        <w:right w:val="none" w:sz="0" w:space="0" w:color="auto"/>
      </w:divBdr>
    </w:div>
    <w:div w:id="202836180">
      <w:bodyDiv w:val="1"/>
      <w:marLeft w:val="0"/>
      <w:marRight w:val="0"/>
      <w:marTop w:val="0"/>
      <w:marBottom w:val="0"/>
      <w:divBdr>
        <w:top w:val="none" w:sz="0" w:space="0" w:color="auto"/>
        <w:left w:val="none" w:sz="0" w:space="0" w:color="auto"/>
        <w:bottom w:val="none" w:sz="0" w:space="0" w:color="auto"/>
        <w:right w:val="none" w:sz="0" w:space="0" w:color="auto"/>
      </w:divBdr>
    </w:div>
    <w:div w:id="469707150">
      <w:bodyDiv w:val="1"/>
      <w:marLeft w:val="0"/>
      <w:marRight w:val="0"/>
      <w:marTop w:val="0"/>
      <w:marBottom w:val="0"/>
      <w:divBdr>
        <w:top w:val="none" w:sz="0" w:space="0" w:color="auto"/>
        <w:left w:val="none" w:sz="0" w:space="0" w:color="auto"/>
        <w:bottom w:val="none" w:sz="0" w:space="0" w:color="auto"/>
        <w:right w:val="none" w:sz="0" w:space="0" w:color="auto"/>
      </w:divBdr>
    </w:div>
    <w:div w:id="479730183">
      <w:bodyDiv w:val="1"/>
      <w:marLeft w:val="0"/>
      <w:marRight w:val="0"/>
      <w:marTop w:val="0"/>
      <w:marBottom w:val="0"/>
      <w:divBdr>
        <w:top w:val="none" w:sz="0" w:space="0" w:color="auto"/>
        <w:left w:val="none" w:sz="0" w:space="0" w:color="auto"/>
        <w:bottom w:val="none" w:sz="0" w:space="0" w:color="auto"/>
        <w:right w:val="none" w:sz="0" w:space="0" w:color="auto"/>
      </w:divBdr>
    </w:div>
    <w:div w:id="483787712">
      <w:bodyDiv w:val="1"/>
      <w:marLeft w:val="0"/>
      <w:marRight w:val="0"/>
      <w:marTop w:val="0"/>
      <w:marBottom w:val="0"/>
      <w:divBdr>
        <w:top w:val="none" w:sz="0" w:space="0" w:color="auto"/>
        <w:left w:val="none" w:sz="0" w:space="0" w:color="auto"/>
        <w:bottom w:val="none" w:sz="0" w:space="0" w:color="auto"/>
        <w:right w:val="none" w:sz="0" w:space="0" w:color="auto"/>
      </w:divBdr>
    </w:div>
    <w:div w:id="500898474">
      <w:bodyDiv w:val="1"/>
      <w:marLeft w:val="0"/>
      <w:marRight w:val="0"/>
      <w:marTop w:val="0"/>
      <w:marBottom w:val="0"/>
      <w:divBdr>
        <w:top w:val="none" w:sz="0" w:space="0" w:color="auto"/>
        <w:left w:val="none" w:sz="0" w:space="0" w:color="auto"/>
        <w:bottom w:val="none" w:sz="0" w:space="0" w:color="auto"/>
        <w:right w:val="none" w:sz="0" w:space="0" w:color="auto"/>
      </w:divBdr>
    </w:div>
    <w:div w:id="515534819">
      <w:bodyDiv w:val="1"/>
      <w:marLeft w:val="0"/>
      <w:marRight w:val="0"/>
      <w:marTop w:val="0"/>
      <w:marBottom w:val="0"/>
      <w:divBdr>
        <w:top w:val="none" w:sz="0" w:space="0" w:color="auto"/>
        <w:left w:val="none" w:sz="0" w:space="0" w:color="auto"/>
        <w:bottom w:val="none" w:sz="0" w:space="0" w:color="auto"/>
        <w:right w:val="none" w:sz="0" w:space="0" w:color="auto"/>
      </w:divBdr>
    </w:div>
    <w:div w:id="558521151">
      <w:bodyDiv w:val="1"/>
      <w:marLeft w:val="0"/>
      <w:marRight w:val="0"/>
      <w:marTop w:val="0"/>
      <w:marBottom w:val="0"/>
      <w:divBdr>
        <w:top w:val="none" w:sz="0" w:space="0" w:color="auto"/>
        <w:left w:val="none" w:sz="0" w:space="0" w:color="auto"/>
        <w:bottom w:val="none" w:sz="0" w:space="0" w:color="auto"/>
        <w:right w:val="none" w:sz="0" w:space="0" w:color="auto"/>
      </w:divBdr>
    </w:div>
    <w:div w:id="591355798">
      <w:bodyDiv w:val="1"/>
      <w:marLeft w:val="0"/>
      <w:marRight w:val="0"/>
      <w:marTop w:val="0"/>
      <w:marBottom w:val="0"/>
      <w:divBdr>
        <w:top w:val="none" w:sz="0" w:space="0" w:color="auto"/>
        <w:left w:val="none" w:sz="0" w:space="0" w:color="auto"/>
        <w:bottom w:val="none" w:sz="0" w:space="0" w:color="auto"/>
        <w:right w:val="none" w:sz="0" w:space="0" w:color="auto"/>
      </w:divBdr>
    </w:div>
    <w:div w:id="674039265">
      <w:bodyDiv w:val="1"/>
      <w:marLeft w:val="0"/>
      <w:marRight w:val="0"/>
      <w:marTop w:val="0"/>
      <w:marBottom w:val="0"/>
      <w:divBdr>
        <w:top w:val="none" w:sz="0" w:space="0" w:color="auto"/>
        <w:left w:val="none" w:sz="0" w:space="0" w:color="auto"/>
        <w:bottom w:val="none" w:sz="0" w:space="0" w:color="auto"/>
        <w:right w:val="none" w:sz="0" w:space="0" w:color="auto"/>
      </w:divBdr>
    </w:div>
    <w:div w:id="707073114">
      <w:bodyDiv w:val="1"/>
      <w:marLeft w:val="0"/>
      <w:marRight w:val="0"/>
      <w:marTop w:val="0"/>
      <w:marBottom w:val="0"/>
      <w:divBdr>
        <w:top w:val="none" w:sz="0" w:space="0" w:color="auto"/>
        <w:left w:val="none" w:sz="0" w:space="0" w:color="auto"/>
        <w:bottom w:val="none" w:sz="0" w:space="0" w:color="auto"/>
        <w:right w:val="none" w:sz="0" w:space="0" w:color="auto"/>
      </w:divBdr>
    </w:div>
    <w:div w:id="740832475">
      <w:bodyDiv w:val="1"/>
      <w:marLeft w:val="0"/>
      <w:marRight w:val="0"/>
      <w:marTop w:val="0"/>
      <w:marBottom w:val="0"/>
      <w:divBdr>
        <w:top w:val="none" w:sz="0" w:space="0" w:color="auto"/>
        <w:left w:val="none" w:sz="0" w:space="0" w:color="auto"/>
        <w:bottom w:val="none" w:sz="0" w:space="0" w:color="auto"/>
        <w:right w:val="none" w:sz="0" w:space="0" w:color="auto"/>
      </w:divBdr>
    </w:div>
    <w:div w:id="823398946">
      <w:bodyDiv w:val="1"/>
      <w:marLeft w:val="0"/>
      <w:marRight w:val="0"/>
      <w:marTop w:val="0"/>
      <w:marBottom w:val="0"/>
      <w:divBdr>
        <w:top w:val="none" w:sz="0" w:space="0" w:color="auto"/>
        <w:left w:val="none" w:sz="0" w:space="0" w:color="auto"/>
        <w:bottom w:val="none" w:sz="0" w:space="0" w:color="auto"/>
        <w:right w:val="none" w:sz="0" w:space="0" w:color="auto"/>
      </w:divBdr>
    </w:div>
    <w:div w:id="868644609">
      <w:bodyDiv w:val="1"/>
      <w:marLeft w:val="0"/>
      <w:marRight w:val="0"/>
      <w:marTop w:val="0"/>
      <w:marBottom w:val="0"/>
      <w:divBdr>
        <w:top w:val="none" w:sz="0" w:space="0" w:color="auto"/>
        <w:left w:val="none" w:sz="0" w:space="0" w:color="auto"/>
        <w:bottom w:val="none" w:sz="0" w:space="0" w:color="auto"/>
        <w:right w:val="none" w:sz="0" w:space="0" w:color="auto"/>
      </w:divBdr>
    </w:div>
    <w:div w:id="981424674">
      <w:bodyDiv w:val="1"/>
      <w:marLeft w:val="0"/>
      <w:marRight w:val="0"/>
      <w:marTop w:val="0"/>
      <w:marBottom w:val="0"/>
      <w:divBdr>
        <w:top w:val="none" w:sz="0" w:space="0" w:color="auto"/>
        <w:left w:val="none" w:sz="0" w:space="0" w:color="auto"/>
        <w:bottom w:val="none" w:sz="0" w:space="0" w:color="auto"/>
        <w:right w:val="none" w:sz="0" w:space="0" w:color="auto"/>
      </w:divBdr>
    </w:div>
    <w:div w:id="1005674390">
      <w:bodyDiv w:val="1"/>
      <w:marLeft w:val="0"/>
      <w:marRight w:val="0"/>
      <w:marTop w:val="0"/>
      <w:marBottom w:val="0"/>
      <w:divBdr>
        <w:top w:val="none" w:sz="0" w:space="0" w:color="auto"/>
        <w:left w:val="none" w:sz="0" w:space="0" w:color="auto"/>
        <w:bottom w:val="none" w:sz="0" w:space="0" w:color="auto"/>
        <w:right w:val="none" w:sz="0" w:space="0" w:color="auto"/>
      </w:divBdr>
    </w:div>
    <w:div w:id="1013531983">
      <w:bodyDiv w:val="1"/>
      <w:marLeft w:val="0"/>
      <w:marRight w:val="0"/>
      <w:marTop w:val="0"/>
      <w:marBottom w:val="0"/>
      <w:divBdr>
        <w:top w:val="none" w:sz="0" w:space="0" w:color="auto"/>
        <w:left w:val="none" w:sz="0" w:space="0" w:color="auto"/>
        <w:bottom w:val="none" w:sz="0" w:space="0" w:color="auto"/>
        <w:right w:val="none" w:sz="0" w:space="0" w:color="auto"/>
      </w:divBdr>
      <w:divsChild>
        <w:div w:id="65610660">
          <w:marLeft w:val="0"/>
          <w:marRight w:val="0"/>
          <w:marTop w:val="0"/>
          <w:marBottom w:val="0"/>
          <w:divBdr>
            <w:top w:val="none" w:sz="0" w:space="0" w:color="auto"/>
            <w:left w:val="none" w:sz="0" w:space="0" w:color="auto"/>
            <w:bottom w:val="none" w:sz="0" w:space="0" w:color="auto"/>
            <w:right w:val="none" w:sz="0" w:space="0" w:color="auto"/>
          </w:divBdr>
        </w:div>
        <w:div w:id="1873036164">
          <w:marLeft w:val="0"/>
          <w:marRight w:val="0"/>
          <w:marTop w:val="0"/>
          <w:marBottom w:val="0"/>
          <w:divBdr>
            <w:top w:val="none" w:sz="0" w:space="0" w:color="auto"/>
            <w:left w:val="none" w:sz="0" w:space="0" w:color="auto"/>
            <w:bottom w:val="none" w:sz="0" w:space="0" w:color="auto"/>
            <w:right w:val="none" w:sz="0" w:space="0" w:color="auto"/>
          </w:divBdr>
        </w:div>
        <w:div w:id="1245064565">
          <w:marLeft w:val="0"/>
          <w:marRight w:val="0"/>
          <w:marTop w:val="0"/>
          <w:marBottom w:val="0"/>
          <w:divBdr>
            <w:top w:val="none" w:sz="0" w:space="0" w:color="auto"/>
            <w:left w:val="none" w:sz="0" w:space="0" w:color="auto"/>
            <w:bottom w:val="none" w:sz="0" w:space="0" w:color="auto"/>
            <w:right w:val="none" w:sz="0" w:space="0" w:color="auto"/>
          </w:divBdr>
        </w:div>
        <w:div w:id="162936977">
          <w:marLeft w:val="0"/>
          <w:marRight w:val="0"/>
          <w:marTop w:val="0"/>
          <w:marBottom w:val="0"/>
          <w:divBdr>
            <w:top w:val="none" w:sz="0" w:space="0" w:color="auto"/>
            <w:left w:val="none" w:sz="0" w:space="0" w:color="auto"/>
            <w:bottom w:val="none" w:sz="0" w:space="0" w:color="auto"/>
            <w:right w:val="none" w:sz="0" w:space="0" w:color="auto"/>
          </w:divBdr>
        </w:div>
      </w:divsChild>
    </w:div>
    <w:div w:id="1057125231">
      <w:bodyDiv w:val="1"/>
      <w:marLeft w:val="0"/>
      <w:marRight w:val="0"/>
      <w:marTop w:val="0"/>
      <w:marBottom w:val="0"/>
      <w:divBdr>
        <w:top w:val="none" w:sz="0" w:space="0" w:color="auto"/>
        <w:left w:val="none" w:sz="0" w:space="0" w:color="auto"/>
        <w:bottom w:val="none" w:sz="0" w:space="0" w:color="auto"/>
        <w:right w:val="none" w:sz="0" w:space="0" w:color="auto"/>
      </w:divBdr>
    </w:div>
    <w:div w:id="1154030487">
      <w:bodyDiv w:val="1"/>
      <w:marLeft w:val="0"/>
      <w:marRight w:val="0"/>
      <w:marTop w:val="0"/>
      <w:marBottom w:val="0"/>
      <w:divBdr>
        <w:top w:val="none" w:sz="0" w:space="0" w:color="auto"/>
        <w:left w:val="none" w:sz="0" w:space="0" w:color="auto"/>
        <w:bottom w:val="none" w:sz="0" w:space="0" w:color="auto"/>
        <w:right w:val="none" w:sz="0" w:space="0" w:color="auto"/>
      </w:divBdr>
    </w:div>
    <w:div w:id="1174954980">
      <w:bodyDiv w:val="1"/>
      <w:marLeft w:val="0"/>
      <w:marRight w:val="0"/>
      <w:marTop w:val="0"/>
      <w:marBottom w:val="0"/>
      <w:divBdr>
        <w:top w:val="none" w:sz="0" w:space="0" w:color="auto"/>
        <w:left w:val="none" w:sz="0" w:space="0" w:color="auto"/>
        <w:bottom w:val="none" w:sz="0" w:space="0" w:color="auto"/>
        <w:right w:val="none" w:sz="0" w:space="0" w:color="auto"/>
      </w:divBdr>
    </w:div>
    <w:div w:id="1182546108">
      <w:bodyDiv w:val="1"/>
      <w:marLeft w:val="0"/>
      <w:marRight w:val="0"/>
      <w:marTop w:val="0"/>
      <w:marBottom w:val="0"/>
      <w:divBdr>
        <w:top w:val="none" w:sz="0" w:space="0" w:color="auto"/>
        <w:left w:val="none" w:sz="0" w:space="0" w:color="auto"/>
        <w:bottom w:val="none" w:sz="0" w:space="0" w:color="auto"/>
        <w:right w:val="none" w:sz="0" w:space="0" w:color="auto"/>
      </w:divBdr>
    </w:div>
    <w:div w:id="1214654662">
      <w:bodyDiv w:val="1"/>
      <w:marLeft w:val="0"/>
      <w:marRight w:val="0"/>
      <w:marTop w:val="0"/>
      <w:marBottom w:val="0"/>
      <w:divBdr>
        <w:top w:val="none" w:sz="0" w:space="0" w:color="auto"/>
        <w:left w:val="none" w:sz="0" w:space="0" w:color="auto"/>
        <w:bottom w:val="none" w:sz="0" w:space="0" w:color="auto"/>
        <w:right w:val="none" w:sz="0" w:space="0" w:color="auto"/>
      </w:divBdr>
    </w:div>
    <w:div w:id="1416433830">
      <w:bodyDiv w:val="1"/>
      <w:marLeft w:val="0"/>
      <w:marRight w:val="0"/>
      <w:marTop w:val="0"/>
      <w:marBottom w:val="0"/>
      <w:divBdr>
        <w:top w:val="none" w:sz="0" w:space="0" w:color="auto"/>
        <w:left w:val="none" w:sz="0" w:space="0" w:color="auto"/>
        <w:bottom w:val="none" w:sz="0" w:space="0" w:color="auto"/>
        <w:right w:val="none" w:sz="0" w:space="0" w:color="auto"/>
      </w:divBdr>
    </w:div>
    <w:div w:id="1593002376">
      <w:bodyDiv w:val="1"/>
      <w:marLeft w:val="0"/>
      <w:marRight w:val="0"/>
      <w:marTop w:val="0"/>
      <w:marBottom w:val="0"/>
      <w:divBdr>
        <w:top w:val="none" w:sz="0" w:space="0" w:color="auto"/>
        <w:left w:val="none" w:sz="0" w:space="0" w:color="auto"/>
        <w:bottom w:val="none" w:sz="0" w:space="0" w:color="auto"/>
        <w:right w:val="none" w:sz="0" w:space="0" w:color="auto"/>
      </w:divBdr>
    </w:div>
    <w:div w:id="1619606922">
      <w:bodyDiv w:val="1"/>
      <w:marLeft w:val="0"/>
      <w:marRight w:val="0"/>
      <w:marTop w:val="0"/>
      <w:marBottom w:val="0"/>
      <w:divBdr>
        <w:top w:val="none" w:sz="0" w:space="0" w:color="auto"/>
        <w:left w:val="none" w:sz="0" w:space="0" w:color="auto"/>
        <w:bottom w:val="none" w:sz="0" w:space="0" w:color="auto"/>
        <w:right w:val="none" w:sz="0" w:space="0" w:color="auto"/>
      </w:divBdr>
    </w:div>
    <w:div w:id="1675261486">
      <w:bodyDiv w:val="1"/>
      <w:marLeft w:val="0"/>
      <w:marRight w:val="0"/>
      <w:marTop w:val="0"/>
      <w:marBottom w:val="0"/>
      <w:divBdr>
        <w:top w:val="none" w:sz="0" w:space="0" w:color="auto"/>
        <w:left w:val="none" w:sz="0" w:space="0" w:color="auto"/>
        <w:bottom w:val="none" w:sz="0" w:space="0" w:color="auto"/>
        <w:right w:val="none" w:sz="0" w:space="0" w:color="auto"/>
      </w:divBdr>
    </w:div>
    <w:div w:id="1784760154">
      <w:bodyDiv w:val="1"/>
      <w:marLeft w:val="0"/>
      <w:marRight w:val="0"/>
      <w:marTop w:val="0"/>
      <w:marBottom w:val="0"/>
      <w:divBdr>
        <w:top w:val="none" w:sz="0" w:space="0" w:color="auto"/>
        <w:left w:val="none" w:sz="0" w:space="0" w:color="auto"/>
        <w:bottom w:val="none" w:sz="0" w:space="0" w:color="auto"/>
        <w:right w:val="none" w:sz="0" w:space="0" w:color="auto"/>
      </w:divBdr>
    </w:div>
    <w:div w:id="1816606350">
      <w:bodyDiv w:val="1"/>
      <w:marLeft w:val="0"/>
      <w:marRight w:val="0"/>
      <w:marTop w:val="0"/>
      <w:marBottom w:val="0"/>
      <w:divBdr>
        <w:top w:val="none" w:sz="0" w:space="0" w:color="auto"/>
        <w:left w:val="none" w:sz="0" w:space="0" w:color="auto"/>
        <w:bottom w:val="none" w:sz="0" w:space="0" w:color="auto"/>
        <w:right w:val="none" w:sz="0" w:space="0" w:color="auto"/>
      </w:divBdr>
    </w:div>
    <w:div w:id="1823546186">
      <w:bodyDiv w:val="1"/>
      <w:marLeft w:val="0"/>
      <w:marRight w:val="0"/>
      <w:marTop w:val="0"/>
      <w:marBottom w:val="0"/>
      <w:divBdr>
        <w:top w:val="none" w:sz="0" w:space="0" w:color="auto"/>
        <w:left w:val="none" w:sz="0" w:space="0" w:color="auto"/>
        <w:bottom w:val="none" w:sz="0" w:space="0" w:color="auto"/>
        <w:right w:val="none" w:sz="0" w:space="0" w:color="auto"/>
      </w:divBdr>
    </w:div>
    <w:div w:id="1890071298">
      <w:bodyDiv w:val="1"/>
      <w:marLeft w:val="0"/>
      <w:marRight w:val="0"/>
      <w:marTop w:val="0"/>
      <w:marBottom w:val="0"/>
      <w:divBdr>
        <w:top w:val="none" w:sz="0" w:space="0" w:color="auto"/>
        <w:left w:val="none" w:sz="0" w:space="0" w:color="auto"/>
        <w:bottom w:val="none" w:sz="0" w:space="0" w:color="auto"/>
        <w:right w:val="none" w:sz="0" w:space="0" w:color="auto"/>
      </w:divBdr>
    </w:div>
    <w:div w:id="1945071493">
      <w:bodyDiv w:val="1"/>
      <w:marLeft w:val="0"/>
      <w:marRight w:val="0"/>
      <w:marTop w:val="0"/>
      <w:marBottom w:val="0"/>
      <w:divBdr>
        <w:top w:val="none" w:sz="0" w:space="0" w:color="auto"/>
        <w:left w:val="none" w:sz="0" w:space="0" w:color="auto"/>
        <w:bottom w:val="none" w:sz="0" w:space="0" w:color="auto"/>
        <w:right w:val="none" w:sz="0" w:space="0" w:color="auto"/>
      </w:divBdr>
    </w:div>
    <w:div w:id="2022778737">
      <w:bodyDiv w:val="1"/>
      <w:marLeft w:val="0"/>
      <w:marRight w:val="0"/>
      <w:marTop w:val="0"/>
      <w:marBottom w:val="0"/>
      <w:divBdr>
        <w:top w:val="none" w:sz="0" w:space="0" w:color="auto"/>
        <w:left w:val="none" w:sz="0" w:space="0" w:color="auto"/>
        <w:bottom w:val="none" w:sz="0" w:space="0" w:color="auto"/>
        <w:right w:val="none" w:sz="0" w:space="0" w:color="auto"/>
      </w:divBdr>
    </w:div>
    <w:div w:id="210275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chart" Target="charts/chart4.xml"/><Relationship Id="rId39" Type="http://schemas.openxmlformats.org/officeDocument/2006/relationships/footer" Target="footer6.xml"/><Relationship Id="rId3" Type="http://schemas.openxmlformats.org/officeDocument/2006/relationships/styles" Target="styles.xml"/><Relationship Id="rId21" Type="http://schemas.microsoft.com/office/2014/relationships/chartEx" Target="charts/chartEx1.xml"/><Relationship Id="rId34" Type="http://schemas.openxmlformats.org/officeDocument/2006/relationships/diagramData" Target="diagrams/data1.xml"/><Relationship Id="rId42" Type="http://schemas.openxmlformats.org/officeDocument/2006/relationships/image" Target="media/image9.png"/><Relationship Id="rId47" Type="http://schemas.openxmlformats.org/officeDocument/2006/relationships/hyperlink" Target="http://www.seefar.org" TargetMode="External"/><Relationship Id="rId50"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chart" Target="charts/chart3.xml"/><Relationship Id="rId33" Type="http://schemas.openxmlformats.org/officeDocument/2006/relationships/chart" Target="charts/chart11.xml"/><Relationship Id="rId38" Type="http://schemas.microsoft.com/office/2007/relationships/diagramDrawing" Target="diagrams/drawing1.xml"/><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1.xml"/><Relationship Id="rId29" Type="http://schemas.openxmlformats.org/officeDocument/2006/relationships/chart" Target="charts/chart7.xml"/><Relationship Id="rId41"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diagramColors" Target="diagrams/colors1.xml"/><Relationship Id="rId40" Type="http://schemas.openxmlformats.org/officeDocument/2006/relationships/chart" Target="charts/chart12.xml"/><Relationship Id="rId45" Type="http://schemas.openxmlformats.org/officeDocument/2006/relationships/hyperlink" Target="http://www.twitter.com/seefar_or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0.png"/><Relationship Id="rId28" Type="http://schemas.openxmlformats.org/officeDocument/2006/relationships/chart" Target="charts/chart6.xml"/><Relationship Id="rId36" Type="http://schemas.openxmlformats.org/officeDocument/2006/relationships/diagramQuickStyle" Target="diagrams/quickStyle1.xml"/><Relationship Id="rId49" Type="http://schemas.openxmlformats.org/officeDocument/2006/relationships/footer" Target="footer7.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chart" Target="charts/chart9.xml"/><Relationship Id="rId44" Type="http://schemas.openxmlformats.org/officeDocument/2006/relationships/image" Target="media/image10.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diagramLayout" Target="diagrams/layout1.xml"/><Relationship Id="rId43" Type="http://schemas.openxmlformats.org/officeDocument/2006/relationships/hyperlink" Target="http://www.linkedin.com/company/farsight" TargetMode="External"/><Relationship Id="rId48"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hyperlink" Target="http://www.seefar.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eefar.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eefar.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dokumen.kemenag.go.id/files/F538xgEY1325487092.pdf" TargetMode="External"/><Relationship Id="rId13" Type="http://schemas.openxmlformats.org/officeDocument/2006/relationships/hyperlink" Target="https://theconversation.com/is-a-new-law-enough-to-protect-religious-minorities-in-indonesia-34242" TargetMode="External"/><Relationship Id="rId3" Type="http://schemas.openxmlformats.org/officeDocument/2006/relationships/hyperlink" Target="http://www.bbc.com/indonesia/berita_indonesia/2016/05/160525_indonesia_ahmadiyah_kendal" TargetMode="External"/><Relationship Id="rId7" Type="http://schemas.openxmlformats.org/officeDocument/2006/relationships/hyperlink" Target="https://www.hrw.org/news/2016/01/16/indonesia-ahmadiyah-community-threatened" TargetMode="External"/><Relationship Id="rId12" Type="http://schemas.openxmlformats.org/officeDocument/2006/relationships/hyperlink" Target="http://ahmadiyah.org/skb-3-menteri-tentang-ahmadiyah/" TargetMode="External"/><Relationship Id="rId2" Type="http://schemas.openxmlformats.org/officeDocument/2006/relationships/hyperlink" Target="http://www.ohchr.org/EN/AboutUs/Pages/DiscriminationReligionOrBelief.aspx" TargetMode="External"/><Relationship Id="rId16" Type="http://schemas.openxmlformats.org/officeDocument/2006/relationships/hyperlink" Target="http://www.dpr.go.id/prolegnas/deskripsi-konsepsi2/id/123" TargetMode="External"/><Relationship Id="rId1" Type="http://schemas.openxmlformats.org/officeDocument/2006/relationships/hyperlink" Target="http://www.ohchr.org/EN/AboutUs/Pages/DiscriminationReligionOrBelief.aspx" TargetMode="External"/><Relationship Id="rId6" Type="http://schemas.openxmlformats.org/officeDocument/2006/relationships/hyperlink" Target="https://nasional.tempo.co/read/news/2016/02/09/058743223/ini-kronologi-pengusiran-jemaat-ahmadiyah-di-bangka" TargetMode="External"/><Relationship Id="rId11" Type="http://schemas.openxmlformats.org/officeDocument/2006/relationships/hyperlink" Target="http://www.depok.go.id/15/04/2011/berita-foto/penyegelan-bangunan-milik-ahmadiyah-sawangan" TargetMode="External"/><Relationship Id="rId5" Type="http://schemas.openxmlformats.org/officeDocument/2006/relationships/hyperlink" Target="http://www.thejakartapost.com/news/2016/05/24/criticism-of-ahmadi-mosque-attack-in-c-java-grows.html" TargetMode="External"/><Relationship Id="rId15" Type="http://schemas.openxmlformats.org/officeDocument/2006/relationships/hyperlink" Target="http://icrp-online.org/wp-content/uploads/2014/11/Pernyataan-Sikap-ICRP-terkait-RUU-PUB.pdf" TargetMode="External"/><Relationship Id="rId10" Type="http://schemas.openxmlformats.org/officeDocument/2006/relationships/hyperlink" Target="http://jdih.banjarkota.go.id/pdfdoc/PERWAL/2011/PERWAL%20NOMOR%2010%20TAHUN%202011%20TTG%20larangan%20ahmadiyah%201.pdf" TargetMode="External"/><Relationship Id="rId4" Type="http://schemas.openxmlformats.org/officeDocument/2006/relationships/hyperlink" Target="http://jakartaglobe.beritasatu.com/news/setara-institute-slams-central-java-ahmadi-mosque-attack/" TargetMode="External"/><Relationship Id="rId9" Type="http://schemas.openxmlformats.org/officeDocument/2006/relationships/hyperlink" Target="http://ahmadiyah.adatuh.com/wp-content/plugins/pdfjs-viewer-shortcode/web/viewer.php?file=http://ahmadiyah.adatuh.com/file/pergub-jabar-ahmadiyah.pdf&amp;download=true&amp;print=true&amp;openfile=false" TargetMode="External"/><Relationship Id="rId14" Type="http://schemas.openxmlformats.org/officeDocument/2006/relationships/hyperlink" Target="http://www.madinaonline.id/wacana/rancangan-uu-perlindungan-umat-beragama-jalan-keluar-atau-sumber-masalah-baru/?pps=full_pos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Temp\Farsight%20empty%20template%20for%20publications.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2865243448847"/>
          <c:y val="4.2986293379994114E-3"/>
          <c:w val="0.40730865861018711"/>
          <c:h val="0.90674665666791654"/>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8B-421D-9D1F-22C6123A2E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E8B-421D-9D1F-22C6123A2EE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E8B-421D-9D1F-22C6123A2EE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E8B-421D-9D1F-22C6123A2EE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E8B-421D-9D1F-22C6123A2EE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Bogor</c:v>
                </c:pt>
                <c:pt idx="1">
                  <c:v>Depok</c:v>
                </c:pt>
                <c:pt idx="2">
                  <c:v>Kuningan</c:v>
                </c:pt>
                <c:pt idx="3">
                  <c:v>Sukabumi</c:v>
                </c:pt>
                <c:pt idx="4">
                  <c:v>Tasikmalaya</c:v>
                </c:pt>
              </c:strCache>
            </c:strRef>
          </c:cat>
          <c:val>
            <c:numRef>
              <c:f>Sheet1!$B$2:$B$6</c:f>
              <c:numCache>
                <c:formatCode>General</c:formatCode>
                <c:ptCount val="5"/>
                <c:pt idx="0">
                  <c:v>48</c:v>
                </c:pt>
                <c:pt idx="1">
                  <c:v>32</c:v>
                </c:pt>
                <c:pt idx="2">
                  <c:v>96</c:v>
                </c:pt>
                <c:pt idx="3">
                  <c:v>64</c:v>
                </c:pt>
                <c:pt idx="4">
                  <c:v>160</c:v>
                </c:pt>
              </c:numCache>
            </c:numRef>
          </c:val>
          <c:extLst>
            <c:ext xmlns:c16="http://schemas.microsoft.com/office/drawing/2014/chart" uri="{C3380CC4-5D6E-409C-BE32-E72D297353CC}">
              <c16:uniqueId val="{0000000A-5E8B-421D-9D1F-22C6123A2EEA}"/>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3954469233012532"/>
          <c:y val="0.19766747906511689"/>
          <c:w val="0.2465664187809857"/>
          <c:h val="0.493553930758655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568011472792703"/>
          <c:y val="0.14786784745431999"/>
          <c:w val="0.27878204248859134"/>
          <c:h val="0.72407643614683914"/>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AA4-45C1-A69F-F883C6EFEB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AA4-45C1-A69F-F883C6EFEB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AA4-45C1-A69F-F883C6EFEB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no</c:v>
                </c:pt>
                <c:pt idx="1">
                  <c:v>yes</c:v>
                </c:pt>
                <c:pt idx="2">
                  <c:v>don't know</c:v>
                </c:pt>
              </c:strCache>
            </c:strRef>
          </c:cat>
          <c:val>
            <c:numRef>
              <c:f>Sheet1!$B$2:$B$4</c:f>
              <c:numCache>
                <c:formatCode>General</c:formatCode>
                <c:ptCount val="3"/>
                <c:pt idx="0">
                  <c:v>171</c:v>
                </c:pt>
                <c:pt idx="1">
                  <c:v>140</c:v>
                </c:pt>
                <c:pt idx="2">
                  <c:v>89</c:v>
                </c:pt>
              </c:numCache>
            </c:numRef>
          </c:val>
          <c:extLst>
            <c:ext xmlns:c16="http://schemas.microsoft.com/office/drawing/2014/chart" uri="{C3380CC4-5D6E-409C-BE32-E72D297353CC}">
              <c16:uniqueId val="{00000006-AAA4-45C1-A69F-F883C6EFEBDD}"/>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3245813785471934"/>
          <c:y val="8.7856913813375154E-2"/>
          <c:w val="0.15360457991531545"/>
          <c:h val="0.679489317229011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very satisfied</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General</c:formatCode>
                <c:ptCount val="1"/>
                <c:pt idx="0">
                  <c:v>3.75</c:v>
                </c:pt>
              </c:numCache>
            </c:numRef>
          </c:val>
          <c:extLst>
            <c:ext xmlns:c16="http://schemas.microsoft.com/office/drawing/2014/chart" uri="{C3380CC4-5D6E-409C-BE32-E72D297353CC}">
              <c16:uniqueId val="{00000000-628E-4DA6-A453-FC16ADC22847}"/>
            </c:ext>
          </c:extLst>
        </c:ser>
        <c:ser>
          <c:idx val="1"/>
          <c:order val="1"/>
          <c:tx>
            <c:strRef>
              <c:f>Sheet1!$C$1</c:f>
              <c:strCache>
                <c:ptCount val="1"/>
                <c:pt idx="0">
                  <c:v>satisfied</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General</c:formatCode>
                <c:ptCount val="1"/>
                <c:pt idx="0">
                  <c:v>17.5</c:v>
                </c:pt>
              </c:numCache>
            </c:numRef>
          </c:val>
          <c:extLst>
            <c:ext xmlns:c16="http://schemas.microsoft.com/office/drawing/2014/chart" uri="{C3380CC4-5D6E-409C-BE32-E72D297353CC}">
              <c16:uniqueId val="{00000001-628E-4DA6-A453-FC16ADC22847}"/>
            </c:ext>
          </c:extLst>
        </c:ser>
        <c:ser>
          <c:idx val="2"/>
          <c:order val="2"/>
          <c:tx>
            <c:strRef>
              <c:f>Sheet1!$D$1</c:f>
              <c:strCache>
                <c:ptCount val="1"/>
                <c:pt idx="0">
                  <c:v> somewhat satisfied</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General</c:formatCode>
                <c:ptCount val="1"/>
                <c:pt idx="0">
                  <c:v>10.5</c:v>
                </c:pt>
              </c:numCache>
            </c:numRef>
          </c:val>
          <c:extLst>
            <c:ext xmlns:c16="http://schemas.microsoft.com/office/drawing/2014/chart" uri="{C3380CC4-5D6E-409C-BE32-E72D297353CC}">
              <c16:uniqueId val="{00000002-628E-4DA6-A453-FC16ADC22847}"/>
            </c:ext>
          </c:extLst>
        </c:ser>
        <c:ser>
          <c:idx val="3"/>
          <c:order val="3"/>
          <c:tx>
            <c:strRef>
              <c:f>Sheet1!$E$1</c:f>
              <c:strCache>
                <c:ptCount val="1"/>
                <c:pt idx="0">
                  <c:v>somewhat dissatisfied</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Sheet1!$E$2</c:f>
              <c:numCache>
                <c:formatCode>General</c:formatCode>
                <c:ptCount val="1"/>
                <c:pt idx="0">
                  <c:v>16</c:v>
                </c:pt>
              </c:numCache>
            </c:numRef>
          </c:val>
          <c:extLst>
            <c:ext xmlns:c16="http://schemas.microsoft.com/office/drawing/2014/chart" uri="{C3380CC4-5D6E-409C-BE32-E72D297353CC}">
              <c16:uniqueId val="{00000003-628E-4DA6-A453-FC16ADC22847}"/>
            </c:ext>
          </c:extLst>
        </c:ser>
        <c:ser>
          <c:idx val="4"/>
          <c:order val="4"/>
          <c:tx>
            <c:strRef>
              <c:f>Sheet1!$F$1</c:f>
              <c:strCache>
                <c:ptCount val="1"/>
                <c:pt idx="0">
                  <c:v>dissatisfied</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Sheet1!$F$2</c:f>
              <c:numCache>
                <c:formatCode>General</c:formatCode>
                <c:ptCount val="1"/>
                <c:pt idx="0">
                  <c:v>43.25</c:v>
                </c:pt>
              </c:numCache>
            </c:numRef>
          </c:val>
          <c:extLst>
            <c:ext xmlns:c16="http://schemas.microsoft.com/office/drawing/2014/chart" uri="{C3380CC4-5D6E-409C-BE32-E72D297353CC}">
              <c16:uniqueId val="{00000004-628E-4DA6-A453-FC16ADC22847}"/>
            </c:ext>
          </c:extLst>
        </c:ser>
        <c:ser>
          <c:idx val="5"/>
          <c:order val="5"/>
          <c:tx>
            <c:strRef>
              <c:f>Sheet1!$G$1</c:f>
              <c:strCache>
                <c:ptCount val="1"/>
                <c:pt idx="0">
                  <c:v> very dissatisfied</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Sheet1!$G$2</c:f>
              <c:numCache>
                <c:formatCode>General</c:formatCode>
                <c:ptCount val="1"/>
                <c:pt idx="0">
                  <c:v>9</c:v>
                </c:pt>
              </c:numCache>
            </c:numRef>
          </c:val>
          <c:extLst>
            <c:ext xmlns:c16="http://schemas.microsoft.com/office/drawing/2014/chart" uri="{C3380CC4-5D6E-409C-BE32-E72D297353CC}">
              <c16:uniqueId val="{00000005-628E-4DA6-A453-FC16ADC22847}"/>
            </c:ext>
          </c:extLst>
        </c:ser>
        <c:dLbls>
          <c:showLegendKey val="0"/>
          <c:showVal val="0"/>
          <c:showCatName val="0"/>
          <c:showSerName val="0"/>
          <c:showPercent val="0"/>
          <c:showBubbleSize val="0"/>
        </c:dLbls>
        <c:gapWidth val="150"/>
        <c:overlap val="100"/>
        <c:axId val="914514024"/>
        <c:axId val="914513696"/>
      </c:barChart>
      <c:catAx>
        <c:axId val="914514024"/>
        <c:scaling>
          <c:orientation val="minMax"/>
        </c:scaling>
        <c:delete val="1"/>
        <c:axPos val="l"/>
        <c:numFmt formatCode="General" sourceLinked="1"/>
        <c:majorTickMark val="none"/>
        <c:minorTickMark val="none"/>
        <c:tickLblPos val="nextTo"/>
        <c:crossAx val="914513696"/>
        <c:crosses val="autoZero"/>
        <c:auto val="1"/>
        <c:lblAlgn val="ctr"/>
        <c:lblOffset val="100"/>
        <c:noMultiLvlLbl val="0"/>
      </c:catAx>
      <c:valAx>
        <c:axId val="9145136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51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No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11. being bullied</c:v>
                </c:pt>
                <c:pt idx="1">
                  <c:v>10. eviction from your home</c:v>
                </c:pt>
                <c:pt idx="2">
                  <c:v>9. verbally expressed hatred</c:v>
                </c:pt>
                <c:pt idx="3">
                  <c:v>8. threat or harrassment via social media</c:v>
                </c:pt>
                <c:pt idx="4">
                  <c:v>7. physical violence perpetrated by neighbours or surrounding communities</c:v>
                </c:pt>
                <c:pt idx="5">
                  <c:v>6. threat from neighbours or surrounding communities</c:v>
                </c:pt>
                <c:pt idx="6">
                  <c:v>5. physical violence perpetrated by mass organizations</c:v>
                </c:pt>
                <c:pt idx="7">
                  <c:v>4. received violent threat from mass organizations</c:v>
                </c:pt>
                <c:pt idx="8">
                  <c:v>3. discrimination perpetrated by the government (national and local)</c:v>
                </c:pt>
                <c:pt idx="9">
                  <c:v>2. threat from the government and law enforcement agencies</c:v>
                </c:pt>
                <c:pt idx="10">
                  <c:v>1. physical violence perpetrated by the government and law enforcement agencies</c:v>
                </c:pt>
              </c:strCache>
            </c:strRef>
          </c:cat>
          <c:val>
            <c:numRef>
              <c:f>Sheet1!$B$2:$B$12</c:f>
              <c:numCache>
                <c:formatCode>General</c:formatCode>
                <c:ptCount val="11"/>
                <c:pt idx="0">
                  <c:v>73.510000000000005</c:v>
                </c:pt>
                <c:pt idx="1">
                  <c:v>87.42</c:v>
                </c:pt>
                <c:pt idx="2">
                  <c:v>39.74</c:v>
                </c:pt>
                <c:pt idx="3">
                  <c:v>80.13</c:v>
                </c:pt>
                <c:pt idx="4">
                  <c:v>90.73</c:v>
                </c:pt>
                <c:pt idx="5">
                  <c:v>72.849999999999994</c:v>
                </c:pt>
                <c:pt idx="6">
                  <c:v>70.86</c:v>
                </c:pt>
                <c:pt idx="7">
                  <c:v>47.02</c:v>
                </c:pt>
                <c:pt idx="8">
                  <c:v>51.66</c:v>
                </c:pt>
                <c:pt idx="9">
                  <c:v>73.510000000000005</c:v>
                </c:pt>
                <c:pt idx="10">
                  <c:v>90.73</c:v>
                </c:pt>
              </c:numCache>
            </c:numRef>
          </c:val>
          <c:extLst>
            <c:ext xmlns:c16="http://schemas.microsoft.com/office/drawing/2014/chart" uri="{C3380CC4-5D6E-409C-BE32-E72D297353CC}">
              <c16:uniqueId val="{00000000-CC24-4657-A614-FE78CC1B996B}"/>
            </c:ext>
          </c:extLst>
        </c:ser>
        <c:ser>
          <c:idx val="1"/>
          <c:order val="1"/>
          <c:tx>
            <c:strRef>
              <c:f>Sheet1!$C$1</c:f>
              <c:strCache>
                <c:ptCount val="1"/>
                <c:pt idx="0">
                  <c:v>Yes</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11. being bullied</c:v>
                </c:pt>
                <c:pt idx="1">
                  <c:v>10. eviction from your home</c:v>
                </c:pt>
                <c:pt idx="2">
                  <c:v>9. verbally expressed hatred</c:v>
                </c:pt>
                <c:pt idx="3">
                  <c:v>8. threat or harrassment via social media</c:v>
                </c:pt>
                <c:pt idx="4">
                  <c:v>7. physical violence perpetrated by neighbours or surrounding communities</c:v>
                </c:pt>
                <c:pt idx="5">
                  <c:v>6. threat from neighbours or surrounding communities</c:v>
                </c:pt>
                <c:pt idx="6">
                  <c:v>5. physical violence perpetrated by mass organizations</c:v>
                </c:pt>
                <c:pt idx="7">
                  <c:v>4. received violent threat from mass organizations</c:v>
                </c:pt>
                <c:pt idx="8">
                  <c:v>3. discrimination perpetrated by the government (national and local)</c:v>
                </c:pt>
                <c:pt idx="9">
                  <c:v>2. threat from the government and law enforcement agencies</c:v>
                </c:pt>
                <c:pt idx="10">
                  <c:v>1. physical violence perpetrated by the government and law enforcement agencies</c:v>
                </c:pt>
              </c:strCache>
            </c:strRef>
          </c:cat>
          <c:val>
            <c:numRef>
              <c:f>Sheet1!$C$2:$C$12</c:f>
              <c:numCache>
                <c:formatCode>General</c:formatCode>
                <c:ptCount val="11"/>
                <c:pt idx="0">
                  <c:v>26.49</c:v>
                </c:pt>
                <c:pt idx="1">
                  <c:v>12.58</c:v>
                </c:pt>
                <c:pt idx="2">
                  <c:v>60.26</c:v>
                </c:pt>
                <c:pt idx="3">
                  <c:v>19.87</c:v>
                </c:pt>
                <c:pt idx="4">
                  <c:v>9.27</c:v>
                </c:pt>
                <c:pt idx="5">
                  <c:v>27.15</c:v>
                </c:pt>
                <c:pt idx="6">
                  <c:v>29.14</c:v>
                </c:pt>
                <c:pt idx="7">
                  <c:v>52.98</c:v>
                </c:pt>
                <c:pt idx="8">
                  <c:v>48.34</c:v>
                </c:pt>
                <c:pt idx="9">
                  <c:v>26.49</c:v>
                </c:pt>
                <c:pt idx="10">
                  <c:v>9.27</c:v>
                </c:pt>
              </c:numCache>
            </c:numRef>
          </c:val>
          <c:extLst>
            <c:ext xmlns:c16="http://schemas.microsoft.com/office/drawing/2014/chart" uri="{C3380CC4-5D6E-409C-BE32-E72D297353CC}">
              <c16:uniqueId val="{00000001-CC24-4657-A614-FE78CC1B996B}"/>
            </c:ext>
          </c:extLst>
        </c:ser>
        <c:dLbls>
          <c:showLegendKey val="0"/>
          <c:showVal val="0"/>
          <c:showCatName val="0"/>
          <c:showSerName val="0"/>
          <c:showPercent val="0"/>
          <c:showBubbleSize val="0"/>
        </c:dLbls>
        <c:gapWidth val="150"/>
        <c:overlap val="100"/>
        <c:axId val="791784840"/>
        <c:axId val="791775984"/>
      </c:barChart>
      <c:catAx>
        <c:axId val="791784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91775984"/>
        <c:crosses val="autoZero"/>
        <c:auto val="1"/>
        <c:lblAlgn val="ctr"/>
        <c:lblOffset val="100"/>
        <c:noMultiLvlLbl val="0"/>
      </c:catAx>
      <c:valAx>
        <c:axId val="7917759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784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lgn="just">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not answered</c:v>
                </c:pt>
              </c:strCache>
            </c:strRef>
          </c:tx>
          <c:spPr>
            <a:solidFill>
              <a:schemeClr val="bg1">
                <a:lumMod val="65000"/>
              </a:schemeClr>
            </a:solidFill>
            <a:ln>
              <a:noFill/>
            </a:ln>
            <a:effectLst/>
          </c:spPr>
          <c:invertIfNegative val="0"/>
          <c:cat>
            <c:strRef>
              <c:f>Sheet1!$A$2:$A$6</c:f>
              <c:strCache>
                <c:ptCount val="5"/>
                <c:pt idx="0">
                  <c:v>Tasikmalaya</c:v>
                </c:pt>
                <c:pt idx="1">
                  <c:v>Sukabumi</c:v>
                </c:pt>
                <c:pt idx="2">
                  <c:v>Kuningan</c:v>
                </c:pt>
                <c:pt idx="3">
                  <c:v>Depok</c:v>
                </c:pt>
                <c:pt idx="4">
                  <c:v>Bogor</c:v>
                </c:pt>
              </c:strCache>
            </c:strRef>
          </c:cat>
          <c:val>
            <c:numRef>
              <c:f>Sheet1!$B$2:$B$6</c:f>
              <c:numCache>
                <c:formatCode>0.00</c:formatCode>
                <c:ptCount val="5"/>
                <c:pt idx="0">
                  <c:v>6.88</c:v>
                </c:pt>
                <c:pt idx="1">
                  <c:v>0</c:v>
                </c:pt>
                <c:pt idx="2">
                  <c:v>0</c:v>
                </c:pt>
                <c:pt idx="3">
                  <c:v>0</c:v>
                </c:pt>
                <c:pt idx="4">
                  <c:v>0</c:v>
                </c:pt>
              </c:numCache>
            </c:numRef>
          </c:val>
          <c:extLst>
            <c:ext xmlns:c16="http://schemas.microsoft.com/office/drawing/2014/chart" uri="{C3380CC4-5D6E-409C-BE32-E72D297353CC}">
              <c16:uniqueId val="{00000000-C76D-44BE-8FDD-979219E208E4}"/>
            </c:ext>
          </c:extLst>
        </c:ser>
        <c:ser>
          <c:idx val="1"/>
          <c:order val="1"/>
          <c:tx>
            <c:strRef>
              <c:f>Sheet1!$C$1</c:f>
              <c:strCache>
                <c:ptCount val="1"/>
                <c:pt idx="0">
                  <c:v>yes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Tasikmalaya</c:v>
                </c:pt>
                <c:pt idx="1">
                  <c:v>Sukabumi</c:v>
                </c:pt>
                <c:pt idx="2">
                  <c:v>Kuningan</c:v>
                </c:pt>
                <c:pt idx="3">
                  <c:v>Depok</c:v>
                </c:pt>
                <c:pt idx="4">
                  <c:v>Bogor</c:v>
                </c:pt>
              </c:strCache>
            </c:strRef>
          </c:cat>
          <c:val>
            <c:numRef>
              <c:f>Sheet1!$C$2:$C$6</c:f>
              <c:numCache>
                <c:formatCode>0.00</c:formatCode>
                <c:ptCount val="5"/>
                <c:pt idx="0">
                  <c:v>52.5</c:v>
                </c:pt>
                <c:pt idx="1">
                  <c:v>29.69</c:v>
                </c:pt>
                <c:pt idx="2">
                  <c:v>81.25</c:v>
                </c:pt>
                <c:pt idx="3">
                  <c:v>59.38</c:v>
                </c:pt>
                <c:pt idx="4">
                  <c:v>37.5</c:v>
                </c:pt>
              </c:numCache>
            </c:numRef>
          </c:val>
          <c:extLst>
            <c:ext xmlns:c16="http://schemas.microsoft.com/office/drawing/2014/chart" uri="{C3380CC4-5D6E-409C-BE32-E72D297353CC}">
              <c16:uniqueId val="{00000001-C76D-44BE-8FDD-979219E208E4}"/>
            </c:ext>
          </c:extLst>
        </c:ser>
        <c:ser>
          <c:idx val="2"/>
          <c:order val="2"/>
          <c:tx>
            <c:strRef>
              <c:f>Sheet1!$D$1</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Tasikmalaya</c:v>
                </c:pt>
                <c:pt idx="1">
                  <c:v>Sukabumi</c:v>
                </c:pt>
                <c:pt idx="2">
                  <c:v>Kuningan</c:v>
                </c:pt>
                <c:pt idx="3">
                  <c:v>Depok</c:v>
                </c:pt>
                <c:pt idx="4">
                  <c:v>Bogor</c:v>
                </c:pt>
              </c:strCache>
            </c:strRef>
          </c:cat>
          <c:val>
            <c:numRef>
              <c:f>Sheet1!$D$2:$D$6</c:f>
              <c:numCache>
                <c:formatCode>0.00</c:formatCode>
                <c:ptCount val="5"/>
                <c:pt idx="0">
                  <c:v>19.38</c:v>
                </c:pt>
                <c:pt idx="1">
                  <c:v>53.13</c:v>
                </c:pt>
                <c:pt idx="2">
                  <c:v>2.08</c:v>
                </c:pt>
                <c:pt idx="3">
                  <c:v>3.13</c:v>
                </c:pt>
                <c:pt idx="4">
                  <c:v>43.75</c:v>
                </c:pt>
              </c:numCache>
            </c:numRef>
          </c:val>
          <c:extLst>
            <c:ext xmlns:c16="http://schemas.microsoft.com/office/drawing/2014/chart" uri="{C3380CC4-5D6E-409C-BE32-E72D297353CC}">
              <c16:uniqueId val="{00000002-C76D-44BE-8FDD-979219E208E4}"/>
            </c:ext>
          </c:extLst>
        </c:ser>
        <c:ser>
          <c:idx val="3"/>
          <c:order val="3"/>
          <c:tx>
            <c:strRef>
              <c:f>Sheet1!$E$1</c:f>
              <c:strCache>
                <c:ptCount val="1"/>
                <c:pt idx="0">
                  <c:v>don't know</c:v>
                </c:pt>
              </c:strCache>
            </c:strRef>
          </c:tx>
          <c:spPr>
            <a:solidFill>
              <a:schemeClr val="accent4"/>
            </a:solidFill>
            <a:ln>
              <a:noFill/>
            </a:ln>
            <a:effectLst/>
          </c:spPr>
          <c:invertIfNegative val="0"/>
          <c:cat>
            <c:strRef>
              <c:f>Sheet1!$A$2:$A$6</c:f>
              <c:strCache>
                <c:ptCount val="5"/>
                <c:pt idx="0">
                  <c:v>Tasikmalaya</c:v>
                </c:pt>
                <c:pt idx="1">
                  <c:v>Sukabumi</c:v>
                </c:pt>
                <c:pt idx="2">
                  <c:v>Kuningan</c:v>
                </c:pt>
                <c:pt idx="3">
                  <c:v>Depok</c:v>
                </c:pt>
                <c:pt idx="4">
                  <c:v>Bogor</c:v>
                </c:pt>
              </c:strCache>
            </c:strRef>
          </c:cat>
          <c:val>
            <c:numRef>
              <c:f>Sheet1!$E$2:$E$6</c:f>
              <c:numCache>
                <c:formatCode>0.00</c:formatCode>
                <c:ptCount val="5"/>
                <c:pt idx="0">
                  <c:v>21.25</c:v>
                </c:pt>
                <c:pt idx="1">
                  <c:v>17.190000000000001</c:v>
                </c:pt>
                <c:pt idx="2">
                  <c:v>16.670000000000002</c:v>
                </c:pt>
                <c:pt idx="3">
                  <c:v>37.5</c:v>
                </c:pt>
                <c:pt idx="4">
                  <c:v>18.75</c:v>
                </c:pt>
              </c:numCache>
            </c:numRef>
          </c:val>
          <c:extLst>
            <c:ext xmlns:c16="http://schemas.microsoft.com/office/drawing/2014/chart" uri="{C3380CC4-5D6E-409C-BE32-E72D297353CC}">
              <c16:uniqueId val="{00000003-C76D-44BE-8FDD-979219E208E4}"/>
            </c:ext>
          </c:extLst>
        </c:ser>
        <c:dLbls>
          <c:showLegendKey val="0"/>
          <c:showVal val="0"/>
          <c:showCatName val="0"/>
          <c:showSerName val="0"/>
          <c:showPercent val="0"/>
          <c:showBubbleSize val="0"/>
        </c:dLbls>
        <c:gapWidth val="150"/>
        <c:overlap val="100"/>
        <c:axId val="798532768"/>
        <c:axId val="798530800"/>
      </c:barChart>
      <c:catAx>
        <c:axId val="79853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8530800"/>
        <c:crosses val="autoZero"/>
        <c:auto val="1"/>
        <c:lblAlgn val="ctr"/>
        <c:lblOffset val="100"/>
        <c:noMultiLvlLbl val="0"/>
      </c:catAx>
      <c:valAx>
        <c:axId val="7985308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853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Above 6,000,001</c:v>
                </c:pt>
                <c:pt idx="1">
                  <c:v> 2,600,001 - 6,000,000</c:v>
                </c:pt>
                <c:pt idx="2">
                  <c:v>Below IDR 2,600,000</c:v>
                </c:pt>
              </c:strCache>
            </c:strRef>
          </c:cat>
          <c:val>
            <c:numRef>
              <c:f>Sheet1!$B$2:$B$4</c:f>
              <c:numCache>
                <c:formatCode>0.00%</c:formatCode>
                <c:ptCount val="3"/>
                <c:pt idx="0">
                  <c:v>6.7500000000000004E-2</c:v>
                </c:pt>
                <c:pt idx="1">
                  <c:v>0.29749999999999999</c:v>
                </c:pt>
                <c:pt idx="2">
                  <c:v>0.63500000000000001</c:v>
                </c:pt>
              </c:numCache>
            </c:numRef>
          </c:val>
          <c:extLst>
            <c:ext xmlns:c16="http://schemas.microsoft.com/office/drawing/2014/chart" uri="{C3380CC4-5D6E-409C-BE32-E72D297353CC}">
              <c16:uniqueId val="{00000000-CEB1-40C7-84C0-CCD36356116B}"/>
            </c:ext>
          </c:extLst>
        </c:ser>
        <c:dLbls>
          <c:showLegendKey val="0"/>
          <c:showVal val="0"/>
          <c:showCatName val="0"/>
          <c:showSerName val="0"/>
          <c:showPercent val="0"/>
          <c:showBubbleSize val="0"/>
        </c:dLbls>
        <c:gapWidth val="182"/>
        <c:axId val="791795008"/>
        <c:axId val="791788776"/>
      </c:barChart>
      <c:catAx>
        <c:axId val="79179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788776"/>
        <c:crosses val="autoZero"/>
        <c:auto val="1"/>
        <c:lblAlgn val="ctr"/>
        <c:lblOffset val="100"/>
        <c:noMultiLvlLbl val="0"/>
      </c:catAx>
      <c:valAx>
        <c:axId val="7917887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795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Ease</a:t>
            </a:r>
            <a:r>
              <a:rPr lang="fr-FR" baseline="0"/>
              <a:t> in accessing public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Sheet1!$B$1</c:f>
              <c:strCache>
                <c:ptCount val="1"/>
                <c:pt idx="0">
                  <c:v>very difficult</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Other</c:v>
                </c:pt>
                <c:pt idx="1">
                  <c:v>8. free education</c:v>
                </c:pt>
                <c:pt idx="2">
                  <c:v>7. police services</c:v>
                </c:pt>
                <c:pt idx="3">
                  <c:v>6. health services</c:v>
                </c:pt>
                <c:pt idx="4">
                  <c:v>5. service to population registration</c:v>
                </c:pt>
                <c:pt idx="5">
                  <c:v>4. registering marriage</c:v>
                </c:pt>
                <c:pt idx="6">
                  <c:v>3. Village/subdistrict officials</c:v>
                </c:pt>
                <c:pt idx="7">
                  <c:v>2. neighborhood leaders</c:v>
                </c:pt>
                <c:pt idx="8">
                  <c:v>1. access to justice/legal aid assistance</c:v>
                </c:pt>
              </c:strCache>
            </c:strRef>
          </c:cat>
          <c:val>
            <c:numRef>
              <c:f>Sheet1!$B$2:$B$10</c:f>
              <c:numCache>
                <c:formatCode>General</c:formatCode>
                <c:ptCount val="9"/>
                <c:pt idx="0">
                  <c:v>9</c:v>
                </c:pt>
                <c:pt idx="1">
                  <c:v>2</c:v>
                </c:pt>
                <c:pt idx="2">
                  <c:v>4</c:v>
                </c:pt>
                <c:pt idx="3">
                  <c:v>0</c:v>
                </c:pt>
                <c:pt idx="4">
                  <c:v>50</c:v>
                </c:pt>
                <c:pt idx="5">
                  <c:v>72</c:v>
                </c:pt>
                <c:pt idx="6">
                  <c:v>39</c:v>
                </c:pt>
                <c:pt idx="7">
                  <c:v>17</c:v>
                </c:pt>
                <c:pt idx="8">
                  <c:v>3</c:v>
                </c:pt>
              </c:numCache>
            </c:numRef>
          </c:val>
          <c:extLst>
            <c:ext xmlns:c16="http://schemas.microsoft.com/office/drawing/2014/chart" uri="{C3380CC4-5D6E-409C-BE32-E72D297353CC}">
              <c16:uniqueId val="{00000000-991E-4201-93B0-A3FE73A3124F}"/>
            </c:ext>
          </c:extLst>
        </c:ser>
        <c:ser>
          <c:idx val="1"/>
          <c:order val="1"/>
          <c:tx>
            <c:strRef>
              <c:f>Sheet1!$C$1</c:f>
              <c:strCache>
                <c:ptCount val="1"/>
                <c:pt idx="0">
                  <c:v>difficult</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Other</c:v>
                </c:pt>
                <c:pt idx="1">
                  <c:v>8. free education</c:v>
                </c:pt>
                <c:pt idx="2">
                  <c:v>7. police services</c:v>
                </c:pt>
                <c:pt idx="3">
                  <c:v>6. health services</c:v>
                </c:pt>
                <c:pt idx="4">
                  <c:v>5. service to population registration</c:v>
                </c:pt>
                <c:pt idx="5">
                  <c:v>4. registering marriage</c:v>
                </c:pt>
                <c:pt idx="6">
                  <c:v>3. Village/subdistrict officials</c:v>
                </c:pt>
                <c:pt idx="7">
                  <c:v>2. neighborhood leaders</c:v>
                </c:pt>
                <c:pt idx="8">
                  <c:v>1. access to justice/legal aid assistance</c:v>
                </c:pt>
              </c:strCache>
            </c:strRef>
          </c:cat>
          <c:val>
            <c:numRef>
              <c:f>Sheet1!$C$2:$C$10</c:f>
              <c:numCache>
                <c:formatCode>General</c:formatCode>
                <c:ptCount val="9"/>
                <c:pt idx="0">
                  <c:v>11</c:v>
                </c:pt>
                <c:pt idx="1">
                  <c:v>10</c:v>
                </c:pt>
                <c:pt idx="2">
                  <c:v>15</c:v>
                </c:pt>
                <c:pt idx="3">
                  <c:v>2</c:v>
                </c:pt>
                <c:pt idx="4">
                  <c:v>30</c:v>
                </c:pt>
                <c:pt idx="5">
                  <c:v>36</c:v>
                </c:pt>
                <c:pt idx="6">
                  <c:v>36</c:v>
                </c:pt>
                <c:pt idx="7">
                  <c:v>18</c:v>
                </c:pt>
                <c:pt idx="8">
                  <c:v>20</c:v>
                </c:pt>
              </c:numCache>
            </c:numRef>
          </c:val>
          <c:extLst>
            <c:ext xmlns:c16="http://schemas.microsoft.com/office/drawing/2014/chart" uri="{C3380CC4-5D6E-409C-BE32-E72D297353CC}">
              <c16:uniqueId val="{00000001-991E-4201-93B0-A3FE73A3124F}"/>
            </c:ext>
          </c:extLst>
        </c:ser>
        <c:ser>
          <c:idx val="2"/>
          <c:order val="2"/>
          <c:tx>
            <c:strRef>
              <c:f>Sheet1!$D$1</c:f>
              <c:strCache>
                <c:ptCount val="1"/>
                <c:pt idx="0">
                  <c:v>have never</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Other</c:v>
                </c:pt>
                <c:pt idx="1">
                  <c:v>8. free education</c:v>
                </c:pt>
                <c:pt idx="2">
                  <c:v>7. police services</c:v>
                </c:pt>
                <c:pt idx="3">
                  <c:v>6. health services</c:v>
                </c:pt>
                <c:pt idx="4">
                  <c:v>5. service to population registration</c:v>
                </c:pt>
                <c:pt idx="5">
                  <c:v>4. registering marriage</c:v>
                </c:pt>
                <c:pt idx="6">
                  <c:v>3. Village/subdistrict officials</c:v>
                </c:pt>
                <c:pt idx="7">
                  <c:v>2. neighborhood leaders</c:v>
                </c:pt>
                <c:pt idx="8">
                  <c:v>1. access to justice/legal aid assistance</c:v>
                </c:pt>
              </c:strCache>
            </c:strRef>
          </c:cat>
          <c:val>
            <c:numRef>
              <c:f>Sheet1!$D$2:$D$10</c:f>
              <c:numCache>
                <c:formatCode>General</c:formatCode>
                <c:ptCount val="9"/>
                <c:pt idx="0">
                  <c:v>6</c:v>
                </c:pt>
                <c:pt idx="1">
                  <c:v>55</c:v>
                </c:pt>
                <c:pt idx="2">
                  <c:v>62</c:v>
                </c:pt>
                <c:pt idx="3">
                  <c:v>16</c:v>
                </c:pt>
                <c:pt idx="4">
                  <c:v>22</c:v>
                </c:pt>
                <c:pt idx="5">
                  <c:v>21</c:v>
                </c:pt>
                <c:pt idx="6">
                  <c:v>12</c:v>
                </c:pt>
                <c:pt idx="7">
                  <c:v>8</c:v>
                </c:pt>
                <c:pt idx="8">
                  <c:v>125</c:v>
                </c:pt>
              </c:numCache>
            </c:numRef>
          </c:val>
          <c:extLst>
            <c:ext xmlns:c16="http://schemas.microsoft.com/office/drawing/2014/chart" uri="{C3380CC4-5D6E-409C-BE32-E72D297353CC}">
              <c16:uniqueId val="{00000002-991E-4201-93B0-A3FE73A3124F}"/>
            </c:ext>
          </c:extLst>
        </c:ser>
        <c:ser>
          <c:idx val="3"/>
          <c:order val="3"/>
          <c:tx>
            <c:strRef>
              <c:f>Sheet1!$E$1</c:f>
              <c:strCache>
                <c:ptCount val="1"/>
                <c:pt idx="0">
                  <c:v>easy</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Other</c:v>
                </c:pt>
                <c:pt idx="1">
                  <c:v>8. free education</c:v>
                </c:pt>
                <c:pt idx="2">
                  <c:v>7. police services</c:v>
                </c:pt>
                <c:pt idx="3">
                  <c:v>6. health services</c:v>
                </c:pt>
                <c:pt idx="4">
                  <c:v>5. service to population registration</c:v>
                </c:pt>
                <c:pt idx="5">
                  <c:v>4. registering marriage</c:v>
                </c:pt>
                <c:pt idx="6">
                  <c:v>3. Village/subdistrict officials</c:v>
                </c:pt>
                <c:pt idx="7">
                  <c:v>2. neighborhood leaders</c:v>
                </c:pt>
                <c:pt idx="8">
                  <c:v>1. access to justice/legal aid assistance</c:v>
                </c:pt>
              </c:strCache>
            </c:strRef>
          </c:cat>
          <c:val>
            <c:numRef>
              <c:f>Sheet1!$E$2:$E$10</c:f>
              <c:numCache>
                <c:formatCode>General</c:formatCode>
                <c:ptCount val="9"/>
                <c:pt idx="0">
                  <c:v>11</c:v>
                </c:pt>
                <c:pt idx="1">
                  <c:v>85</c:v>
                </c:pt>
                <c:pt idx="2">
                  <c:v>78</c:v>
                </c:pt>
                <c:pt idx="3">
                  <c:v>122</c:v>
                </c:pt>
                <c:pt idx="4">
                  <c:v>59</c:v>
                </c:pt>
                <c:pt idx="5">
                  <c:v>35</c:v>
                </c:pt>
                <c:pt idx="6">
                  <c:v>76</c:v>
                </c:pt>
                <c:pt idx="7">
                  <c:v>101</c:v>
                </c:pt>
                <c:pt idx="8">
                  <c:v>18</c:v>
                </c:pt>
              </c:numCache>
            </c:numRef>
          </c:val>
          <c:extLst>
            <c:ext xmlns:c16="http://schemas.microsoft.com/office/drawing/2014/chart" uri="{C3380CC4-5D6E-409C-BE32-E72D297353CC}">
              <c16:uniqueId val="{00000003-991E-4201-93B0-A3FE73A3124F}"/>
            </c:ext>
          </c:extLst>
        </c:ser>
        <c:ser>
          <c:idx val="4"/>
          <c:order val="4"/>
          <c:tx>
            <c:strRef>
              <c:f>Sheet1!$F$1</c:f>
              <c:strCache>
                <c:ptCount val="1"/>
                <c:pt idx="0">
                  <c:v>very easy</c:v>
                </c:pt>
              </c:strCache>
            </c:strRef>
          </c:tx>
          <c:spPr>
            <a:solidFill>
              <a:schemeClr val="accent6">
                <a:lumMod val="75000"/>
              </a:schemeClr>
            </a:solidFill>
            <a:ln>
              <a:noFill/>
            </a:ln>
            <a:effectLst/>
          </c:spPr>
          <c:invertIfNegative val="0"/>
          <c:dLbls>
            <c:dLbl>
              <c:idx val="5"/>
              <c:layout>
                <c:manualLayout>
                  <c:x val="1.7837235228539576E-2"/>
                  <c:y val="-8.9703347021645455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1E-4201-93B0-A3FE73A3124F}"/>
                </c:ext>
              </c:extLst>
            </c:dLbl>
            <c:dLbl>
              <c:idx val="8"/>
              <c:delete val="1"/>
              <c:extLst>
                <c:ext xmlns:c15="http://schemas.microsoft.com/office/drawing/2012/chart" uri="{CE6537A1-D6FC-4f65-9D91-7224C49458BB}"/>
                <c:ext xmlns:c16="http://schemas.microsoft.com/office/drawing/2014/chart" uri="{C3380CC4-5D6E-409C-BE32-E72D297353CC}">
                  <c16:uniqueId val="{00000005-991E-4201-93B0-A3FE73A312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Other</c:v>
                </c:pt>
                <c:pt idx="1">
                  <c:v>8. free education</c:v>
                </c:pt>
                <c:pt idx="2">
                  <c:v>7. police services</c:v>
                </c:pt>
                <c:pt idx="3">
                  <c:v>6. health services</c:v>
                </c:pt>
                <c:pt idx="4">
                  <c:v>5. service to population registration</c:v>
                </c:pt>
                <c:pt idx="5">
                  <c:v>4. registering marriage</c:v>
                </c:pt>
                <c:pt idx="6">
                  <c:v>3. Village/subdistrict officials</c:v>
                </c:pt>
                <c:pt idx="7">
                  <c:v>2. neighborhood leaders</c:v>
                </c:pt>
                <c:pt idx="8">
                  <c:v>1. access to justice/legal aid assistance</c:v>
                </c:pt>
              </c:strCache>
            </c:strRef>
          </c:cat>
          <c:val>
            <c:numRef>
              <c:f>Sheet1!$F$2:$F$10</c:f>
              <c:numCache>
                <c:formatCode>General</c:formatCode>
                <c:ptCount val="9"/>
                <c:pt idx="0">
                  <c:v>2</c:v>
                </c:pt>
                <c:pt idx="1">
                  <c:v>8</c:v>
                </c:pt>
                <c:pt idx="2">
                  <c:v>6</c:v>
                </c:pt>
                <c:pt idx="3">
                  <c:v>25</c:v>
                </c:pt>
                <c:pt idx="4">
                  <c:v>3</c:v>
                </c:pt>
                <c:pt idx="5">
                  <c:v>1</c:v>
                </c:pt>
                <c:pt idx="6">
                  <c:v>3</c:v>
                </c:pt>
                <c:pt idx="7">
                  <c:v>21</c:v>
                </c:pt>
                <c:pt idx="8">
                  <c:v>0</c:v>
                </c:pt>
              </c:numCache>
            </c:numRef>
          </c:val>
          <c:extLst>
            <c:ext xmlns:c16="http://schemas.microsoft.com/office/drawing/2014/chart" uri="{C3380CC4-5D6E-409C-BE32-E72D297353CC}">
              <c16:uniqueId val="{00000006-991E-4201-93B0-A3FE73A3124F}"/>
            </c:ext>
          </c:extLst>
        </c:ser>
        <c:dLbls>
          <c:showLegendKey val="0"/>
          <c:showVal val="0"/>
          <c:showCatName val="0"/>
          <c:showSerName val="0"/>
          <c:showPercent val="0"/>
          <c:showBubbleSize val="0"/>
        </c:dLbls>
        <c:gapWidth val="219"/>
        <c:overlap val="100"/>
        <c:axId val="586868408"/>
        <c:axId val="586873328"/>
      </c:barChart>
      <c:catAx>
        <c:axId val="586868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86873328"/>
        <c:crosses val="autoZero"/>
        <c:auto val="1"/>
        <c:lblAlgn val="ctr"/>
        <c:lblOffset val="100"/>
        <c:noMultiLvlLbl val="0"/>
      </c:catAx>
      <c:valAx>
        <c:axId val="586873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86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07F7-4598-9B88-FF147F855469}"/>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07F7-4598-9B88-FF147F855469}"/>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07F7-4598-9B88-FF147F855469}"/>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07F7-4598-9B88-FF147F855469}"/>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07F7-4598-9B88-FF147F8554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85000"/>
                        <a:lumOff val="1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never</c:v>
                </c:pt>
                <c:pt idx="1">
                  <c:v>1-2 times</c:v>
                </c:pt>
                <c:pt idx="2">
                  <c:v>3-5 times</c:v>
                </c:pt>
                <c:pt idx="3">
                  <c:v>6-10 times</c:v>
                </c:pt>
                <c:pt idx="4">
                  <c:v>more than 10 times</c:v>
                </c:pt>
              </c:strCache>
            </c:strRef>
          </c:cat>
          <c:val>
            <c:numRef>
              <c:f>Sheet1!$B$2:$B$6</c:f>
              <c:numCache>
                <c:formatCode>General</c:formatCode>
                <c:ptCount val="5"/>
                <c:pt idx="0">
                  <c:v>21</c:v>
                </c:pt>
                <c:pt idx="1">
                  <c:v>35</c:v>
                </c:pt>
                <c:pt idx="2">
                  <c:v>57</c:v>
                </c:pt>
                <c:pt idx="3">
                  <c:v>33</c:v>
                </c:pt>
                <c:pt idx="4">
                  <c:v>254</c:v>
                </c:pt>
              </c:numCache>
            </c:numRef>
          </c:val>
          <c:extLst>
            <c:ext xmlns:c16="http://schemas.microsoft.com/office/drawing/2014/chart" uri="{C3380CC4-5D6E-409C-BE32-E72D297353CC}">
              <c16:uniqueId val="{0000000A-07F7-4598-9B88-FF147F855469}"/>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1120726468676965"/>
          <c:y val="0.23115997887651432"/>
          <c:w val="0.27593099897882539"/>
          <c:h val="0.489992354559283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7.7613735783027105E-2"/>
          <c:y val="2.1795713035870516E-2"/>
          <c:w val="0.90849737532808394"/>
          <c:h val="0.66891451068616425"/>
        </c:manualLayout>
      </c:layout>
      <c:barChart>
        <c:barDir val="col"/>
        <c:grouping val="clustered"/>
        <c:varyColors val="0"/>
        <c:ser>
          <c:idx val="0"/>
          <c:order val="0"/>
          <c:tx>
            <c:strRef>
              <c:f>Sheet1!$B$1</c:f>
              <c:strCache>
                <c:ptCount val="1"/>
                <c:pt idx="0">
                  <c:v>number of respondents</c:v>
                </c:pt>
              </c:strCache>
            </c:strRef>
          </c:tx>
          <c:spPr>
            <a:solidFill>
              <a:schemeClr val="accent1"/>
            </a:solidFill>
            <a:ln>
              <a:noFill/>
            </a:ln>
            <a:effectLst/>
          </c:spPr>
          <c:invertIfNegative val="0"/>
          <c:dPt>
            <c:idx val="0"/>
            <c:invertIfNegative val="0"/>
            <c:bubble3D val="0"/>
            <c:spPr>
              <a:solidFill>
                <a:schemeClr val="bg1">
                  <a:lumMod val="75000"/>
                </a:schemeClr>
              </a:solidFill>
              <a:ln>
                <a:noFill/>
              </a:ln>
              <a:effectLst/>
            </c:spPr>
            <c:extLst>
              <c:ext xmlns:c16="http://schemas.microsoft.com/office/drawing/2014/chart" uri="{C3380CC4-5D6E-409C-BE32-E72D297353CC}">
                <c16:uniqueId val="{00000001-59DA-45D7-9891-BFB3FF772508}"/>
              </c:ext>
            </c:extLst>
          </c:dPt>
          <c:dPt>
            <c:idx val="1"/>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3-59DA-45D7-9891-BFB3FF772508}"/>
              </c:ext>
            </c:extLst>
          </c:dPt>
          <c:dPt>
            <c:idx val="2"/>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5-59DA-45D7-9891-BFB3FF772508}"/>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59DA-45D7-9891-BFB3FF772508}"/>
              </c:ext>
            </c:extLst>
          </c:dPt>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9-59DA-45D7-9891-BFB3FF772508}"/>
              </c:ext>
            </c:extLst>
          </c:dPt>
          <c:dPt>
            <c:idx val="5"/>
            <c:invertIfNegative val="0"/>
            <c:bubble3D val="0"/>
            <c:spPr>
              <a:solidFill>
                <a:schemeClr val="accent2">
                  <a:lumMod val="50000"/>
                </a:schemeClr>
              </a:solidFill>
              <a:ln>
                <a:noFill/>
              </a:ln>
              <a:effectLst/>
            </c:spPr>
            <c:extLst>
              <c:ext xmlns:c16="http://schemas.microsoft.com/office/drawing/2014/chart" uri="{C3380CC4-5D6E-409C-BE32-E72D297353CC}">
                <c16:uniqueId val="{0000000B-59DA-45D7-9891-BFB3FF7725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never</c:v>
                </c:pt>
                <c:pt idx="1">
                  <c:v>once or twice</c:v>
                </c:pt>
                <c:pt idx="2">
                  <c:v>once every 2-3 months</c:v>
                </c:pt>
                <c:pt idx="3">
                  <c:v>once a month</c:v>
                </c:pt>
                <c:pt idx="4">
                  <c:v>once every 2-3 weeks</c:v>
                </c:pt>
                <c:pt idx="5">
                  <c:v>once a week</c:v>
                </c:pt>
                <c:pt idx="6">
                  <c:v>other</c:v>
                </c:pt>
              </c:strCache>
            </c:strRef>
          </c:cat>
          <c:val>
            <c:numRef>
              <c:f>Sheet1!$B$2:$B$8</c:f>
              <c:numCache>
                <c:formatCode>General</c:formatCode>
                <c:ptCount val="7"/>
                <c:pt idx="0">
                  <c:v>33</c:v>
                </c:pt>
                <c:pt idx="1">
                  <c:v>75</c:v>
                </c:pt>
                <c:pt idx="2">
                  <c:v>108</c:v>
                </c:pt>
                <c:pt idx="3">
                  <c:v>79</c:v>
                </c:pt>
                <c:pt idx="4">
                  <c:v>17</c:v>
                </c:pt>
                <c:pt idx="5">
                  <c:v>79</c:v>
                </c:pt>
                <c:pt idx="6">
                  <c:v>9</c:v>
                </c:pt>
              </c:numCache>
            </c:numRef>
          </c:val>
          <c:extLst>
            <c:ext xmlns:c16="http://schemas.microsoft.com/office/drawing/2014/chart" uri="{C3380CC4-5D6E-409C-BE32-E72D297353CC}">
              <c16:uniqueId val="{0000000C-59DA-45D7-9891-BFB3FF772508}"/>
            </c:ext>
          </c:extLst>
        </c:ser>
        <c:dLbls>
          <c:showLegendKey val="0"/>
          <c:showVal val="0"/>
          <c:showCatName val="0"/>
          <c:showSerName val="0"/>
          <c:showPercent val="0"/>
          <c:showBubbleSize val="0"/>
        </c:dLbls>
        <c:gapWidth val="219"/>
        <c:overlap val="-27"/>
        <c:axId val="792523704"/>
        <c:axId val="792524032"/>
      </c:barChart>
      <c:catAx>
        <c:axId val="79252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24032"/>
        <c:crosses val="autoZero"/>
        <c:auto val="1"/>
        <c:lblAlgn val="ctr"/>
        <c:lblOffset val="100"/>
        <c:noMultiLvlLbl val="0"/>
      </c:catAx>
      <c:valAx>
        <c:axId val="79252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23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percentStacked"/>
        <c:varyColors val="0"/>
        <c:ser>
          <c:idx val="0"/>
          <c:order val="0"/>
          <c:tx>
            <c:strRef>
              <c:f>Sheet1!$B$1</c:f>
              <c:strCache>
                <c:ptCount val="1"/>
                <c:pt idx="0">
                  <c:v>very accepted</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feeling of  acceptance in community activities</c:v>
                </c:pt>
              </c:strCache>
            </c:strRef>
          </c:cat>
          <c:val>
            <c:numRef>
              <c:f>Sheet1!$B$2</c:f>
              <c:numCache>
                <c:formatCode>General</c:formatCode>
                <c:ptCount val="1"/>
                <c:pt idx="0">
                  <c:v>23.25</c:v>
                </c:pt>
              </c:numCache>
            </c:numRef>
          </c:val>
          <c:extLst>
            <c:ext xmlns:c16="http://schemas.microsoft.com/office/drawing/2014/chart" uri="{C3380CC4-5D6E-409C-BE32-E72D297353CC}">
              <c16:uniqueId val="{00000000-872F-4BC5-8A40-109A9CC10EF2}"/>
            </c:ext>
          </c:extLst>
        </c:ser>
        <c:ser>
          <c:idx val="1"/>
          <c:order val="1"/>
          <c:tx>
            <c:strRef>
              <c:f>Sheet1!$C$1</c:f>
              <c:strCache>
                <c:ptCount val="1"/>
                <c:pt idx="0">
                  <c:v>accepted</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feeling of  acceptance in community activities</c:v>
                </c:pt>
              </c:strCache>
            </c:strRef>
          </c:cat>
          <c:val>
            <c:numRef>
              <c:f>Sheet1!$C$2</c:f>
              <c:numCache>
                <c:formatCode>General</c:formatCode>
                <c:ptCount val="1"/>
                <c:pt idx="0">
                  <c:v>68.25</c:v>
                </c:pt>
              </c:numCache>
            </c:numRef>
          </c:val>
          <c:extLst>
            <c:ext xmlns:c16="http://schemas.microsoft.com/office/drawing/2014/chart" uri="{C3380CC4-5D6E-409C-BE32-E72D297353CC}">
              <c16:uniqueId val="{00000001-872F-4BC5-8A40-109A9CC10EF2}"/>
            </c:ext>
          </c:extLst>
        </c:ser>
        <c:ser>
          <c:idx val="2"/>
          <c:order val="2"/>
          <c:tx>
            <c:strRef>
              <c:f>Sheet1!$D$1</c:f>
              <c:strCache>
                <c:ptCount val="1"/>
                <c:pt idx="0">
                  <c:v>somewhat accepted</c:v>
                </c:pt>
              </c:strCache>
            </c:strRef>
          </c:tx>
          <c:spPr>
            <a:solidFill>
              <a:schemeClr val="accent2">
                <a:lumMod val="40000"/>
                <a:lumOff val="60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2F-4BC5-8A40-109A9CC10EF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feeling of  acceptance in community activities</c:v>
                </c:pt>
              </c:strCache>
            </c:strRef>
          </c:cat>
          <c:val>
            <c:numRef>
              <c:f>Sheet1!$D$2</c:f>
              <c:numCache>
                <c:formatCode>General</c:formatCode>
                <c:ptCount val="1"/>
                <c:pt idx="0">
                  <c:v>4.75</c:v>
                </c:pt>
              </c:numCache>
            </c:numRef>
          </c:val>
          <c:extLst>
            <c:ext xmlns:c16="http://schemas.microsoft.com/office/drawing/2014/chart" uri="{C3380CC4-5D6E-409C-BE32-E72D297353CC}">
              <c16:uniqueId val="{00000003-872F-4BC5-8A40-109A9CC10EF2}"/>
            </c:ext>
          </c:extLst>
        </c:ser>
        <c:ser>
          <c:idx val="3"/>
          <c:order val="3"/>
          <c:tx>
            <c:strRef>
              <c:f>Sheet1!$E$1</c:f>
              <c:strCache>
                <c:ptCount val="1"/>
                <c:pt idx="0">
                  <c:v>not accepted at all</c:v>
                </c:pt>
              </c:strCache>
            </c:strRef>
          </c:tx>
          <c:spPr>
            <a:solidFill>
              <a:schemeClr val="accent2">
                <a:lumMod val="20000"/>
                <a:lumOff val="80000"/>
              </a:schemeClr>
            </a:solidFill>
            <a:ln>
              <a:noFill/>
            </a:ln>
            <a:effectLst/>
          </c:spPr>
          <c:invertIfNegative val="0"/>
          <c:cat>
            <c:strRef>
              <c:f>Sheet1!$A$2</c:f>
              <c:strCache>
                <c:ptCount val="1"/>
                <c:pt idx="0">
                  <c:v>feeling of  acceptance in community activities</c:v>
                </c:pt>
              </c:strCache>
            </c:strRef>
          </c:cat>
          <c:val>
            <c:numRef>
              <c:f>Sheet1!$E$2</c:f>
              <c:numCache>
                <c:formatCode>General</c:formatCode>
                <c:ptCount val="1"/>
                <c:pt idx="0">
                  <c:v>0.25</c:v>
                </c:pt>
              </c:numCache>
            </c:numRef>
          </c:val>
          <c:extLst>
            <c:ext xmlns:c16="http://schemas.microsoft.com/office/drawing/2014/chart" uri="{C3380CC4-5D6E-409C-BE32-E72D297353CC}">
              <c16:uniqueId val="{00000004-872F-4BC5-8A40-109A9CC10EF2}"/>
            </c:ext>
          </c:extLst>
        </c:ser>
        <c:dLbls>
          <c:showLegendKey val="0"/>
          <c:showVal val="0"/>
          <c:showCatName val="0"/>
          <c:showSerName val="0"/>
          <c:showPercent val="0"/>
          <c:showBubbleSize val="0"/>
        </c:dLbls>
        <c:gapWidth val="150"/>
        <c:overlap val="100"/>
        <c:axId val="798110432"/>
        <c:axId val="798105840"/>
      </c:barChart>
      <c:catAx>
        <c:axId val="798110432"/>
        <c:scaling>
          <c:orientation val="minMax"/>
        </c:scaling>
        <c:delete val="1"/>
        <c:axPos val="l"/>
        <c:numFmt formatCode="General" sourceLinked="1"/>
        <c:majorTickMark val="none"/>
        <c:minorTickMark val="none"/>
        <c:tickLblPos val="nextTo"/>
        <c:crossAx val="798105840"/>
        <c:crosses val="autoZero"/>
        <c:auto val="1"/>
        <c:lblAlgn val="ctr"/>
        <c:lblOffset val="100"/>
        <c:noMultiLvlLbl val="0"/>
      </c:catAx>
      <c:valAx>
        <c:axId val="7981058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811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increase</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 NEXT upcoming five years</c:v>
                </c:pt>
                <c:pt idx="1">
                  <c:v>in PAST five years</c:v>
                </c:pt>
              </c:strCache>
            </c:strRef>
          </c:cat>
          <c:val>
            <c:numRef>
              <c:f>Sheet1!$B$2:$B$3</c:f>
              <c:numCache>
                <c:formatCode>General</c:formatCode>
                <c:ptCount val="2"/>
                <c:pt idx="0">
                  <c:v>10.25</c:v>
                </c:pt>
                <c:pt idx="1">
                  <c:v>14.25</c:v>
                </c:pt>
              </c:numCache>
            </c:numRef>
          </c:val>
          <c:extLst>
            <c:ext xmlns:c16="http://schemas.microsoft.com/office/drawing/2014/chart" uri="{C3380CC4-5D6E-409C-BE32-E72D297353CC}">
              <c16:uniqueId val="{00000000-9196-475C-A520-234336A4AB44}"/>
            </c:ext>
          </c:extLst>
        </c:ser>
        <c:ser>
          <c:idx val="1"/>
          <c:order val="1"/>
          <c:tx>
            <c:strRef>
              <c:f>Sheet1!$C$1</c:f>
              <c:strCache>
                <c:ptCount val="1"/>
                <c:pt idx="0">
                  <c:v>decrease</c:v>
                </c:pt>
              </c:strCache>
            </c:strRef>
          </c:tx>
          <c:spPr>
            <a:solidFill>
              <a:srgbClr val="69A64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 NEXT upcoming five years</c:v>
                </c:pt>
                <c:pt idx="1">
                  <c:v>in PAST five years</c:v>
                </c:pt>
              </c:strCache>
            </c:strRef>
          </c:cat>
          <c:val>
            <c:numRef>
              <c:f>Sheet1!$C$2:$C$3</c:f>
              <c:numCache>
                <c:formatCode>General</c:formatCode>
                <c:ptCount val="2"/>
                <c:pt idx="0">
                  <c:v>54.75</c:v>
                </c:pt>
                <c:pt idx="1">
                  <c:v>66.75</c:v>
                </c:pt>
              </c:numCache>
            </c:numRef>
          </c:val>
          <c:extLst>
            <c:ext xmlns:c16="http://schemas.microsoft.com/office/drawing/2014/chart" uri="{C3380CC4-5D6E-409C-BE32-E72D297353CC}">
              <c16:uniqueId val="{00000001-9196-475C-A520-234336A4AB44}"/>
            </c:ext>
          </c:extLst>
        </c:ser>
        <c:ser>
          <c:idx val="2"/>
          <c:order val="2"/>
          <c:tx>
            <c:strRef>
              <c:f>Sheet1!$D$1</c:f>
              <c:strCache>
                <c:ptCount val="1"/>
                <c:pt idx="0">
                  <c:v>stay the same</c:v>
                </c:pt>
              </c:strCache>
            </c:strRef>
          </c:tx>
          <c:spPr>
            <a:solidFill>
              <a:schemeClr val="bg1">
                <a:lumMod val="65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9196-475C-A520-234336A4AB44}"/>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9196-475C-A520-234336A4AB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 NEXT upcoming five years</c:v>
                </c:pt>
                <c:pt idx="1">
                  <c:v>in PAST five years</c:v>
                </c:pt>
              </c:strCache>
            </c:strRef>
          </c:cat>
          <c:val>
            <c:numRef>
              <c:f>Sheet1!$D$2:$D$3</c:f>
              <c:numCache>
                <c:formatCode>General</c:formatCode>
                <c:ptCount val="2"/>
                <c:pt idx="0">
                  <c:v>16</c:v>
                </c:pt>
                <c:pt idx="1">
                  <c:v>16.25</c:v>
                </c:pt>
              </c:numCache>
            </c:numRef>
          </c:val>
          <c:extLst>
            <c:ext xmlns:c16="http://schemas.microsoft.com/office/drawing/2014/chart" uri="{C3380CC4-5D6E-409C-BE32-E72D297353CC}">
              <c16:uniqueId val="{00000004-9196-475C-A520-234336A4AB44}"/>
            </c:ext>
          </c:extLst>
        </c:ser>
        <c:ser>
          <c:idx val="3"/>
          <c:order val="3"/>
          <c:tx>
            <c:strRef>
              <c:f>Sheet1!$E$1</c:f>
              <c:strCache>
                <c:ptCount val="1"/>
                <c:pt idx="0">
                  <c:v>don't know</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 NEXT upcoming five years</c:v>
                </c:pt>
                <c:pt idx="1">
                  <c:v>in PAST five years</c:v>
                </c:pt>
              </c:strCache>
            </c:strRef>
          </c:cat>
          <c:val>
            <c:numRef>
              <c:f>Sheet1!$E$2:$E$3</c:f>
              <c:numCache>
                <c:formatCode>General</c:formatCode>
                <c:ptCount val="2"/>
                <c:pt idx="0">
                  <c:v>19</c:v>
                </c:pt>
                <c:pt idx="1">
                  <c:v>2.75</c:v>
                </c:pt>
              </c:numCache>
            </c:numRef>
          </c:val>
          <c:extLst>
            <c:ext xmlns:c16="http://schemas.microsoft.com/office/drawing/2014/chart" uri="{C3380CC4-5D6E-409C-BE32-E72D297353CC}">
              <c16:uniqueId val="{00000005-9196-475C-A520-234336A4AB44}"/>
            </c:ext>
          </c:extLst>
        </c:ser>
        <c:dLbls>
          <c:showLegendKey val="0"/>
          <c:showVal val="0"/>
          <c:showCatName val="0"/>
          <c:showSerName val="0"/>
          <c:showPercent val="0"/>
          <c:showBubbleSize val="0"/>
        </c:dLbls>
        <c:gapWidth val="182"/>
        <c:overlap val="100"/>
        <c:axId val="792538136"/>
        <c:axId val="792539120"/>
      </c:barChart>
      <c:catAx>
        <c:axId val="792538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39120"/>
        <c:crosses val="autoZero"/>
        <c:auto val="1"/>
        <c:lblAlgn val="ctr"/>
        <c:lblOffset val="100"/>
        <c:noMultiLvlLbl val="0"/>
      </c:catAx>
      <c:valAx>
        <c:axId val="7925391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2538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448791123331807"/>
          <c:y val="2.5730994152046785E-2"/>
          <c:w val="0.4921943580581839"/>
          <c:h val="0.87117336648708388"/>
        </c:manualLayout>
      </c:layout>
      <c:barChart>
        <c:barDir val="bar"/>
        <c:grouping val="percentStacked"/>
        <c:varyColors val="0"/>
        <c:ser>
          <c:idx val="0"/>
          <c:order val="0"/>
          <c:tx>
            <c:strRef>
              <c:f>Sheet1!$B$1</c:f>
              <c:strCache>
                <c:ptCount val="1"/>
                <c:pt idx="0">
                  <c:v>very worried</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Getting arrested without reason</c:v>
                </c:pt>
                <c:pt idx="1">
                  <c:v>Local government making regulations not in favour of Ahmadiyya</c:v>
                </c:pt>
                <c:pt idx="2">
                  <c:v>Your worshipping place getting attacked</c:v>
                </c:pt>
                <c:pt idx="3">
                  <c:v>Threat of being killed</c:v>
                </c:pt>
                <c:pt idx="4">
                  <c:v>The safety of your home</c:v>
                </c:pt>
                <c:pt idx="5">
                  <c:v>Other Ahmadiyya member's safety</c:v>
                </c:pt>
                <c:pt idx="6">
                  <c:v>Your own safety</c:v>
                </c:pt>
                <c:pt idx="7">
                  <c:v>Worried about safety of your family</c:v>
                </c:pt>
              </c:strCache>
            </c:strRef>
          </c:cat>
          <c:val>
            <c:numRef>
              <c:f>Sheet1!$B$2:$B$9</c:f>
              <c:numCache>
                <c:formatCode>General</c:formatCode>
                <c:ptCount val="8"/>
                <c:pt idx="0">
                  <c:v>18</c:v>
                </c:pt>
                <c:pt idx="1">
                  <c:v>34.25</c:v>
                </c:pt>
                <c:pt idx="2">
                  <c:v>37</c:v>
                </c:pt>
                <c:pt idx="3">
                  <c:v>14.25</c:v>
                </c:pt>
                <c:pt idx="4">
                  <c:v>6.5</c:v>
                </c:pt>
                <c:pt idx="5">
                  <c:v>27.75</c:v>
                </c:pt>
                <c:pt idx="6">
                  <c:v>7</c:v>
                </c:pt>
                <c:pt idx="7">
                  <c:v>12.5</c:v>
                </c:pt>
              </c:numCache>
            </c:numRef>
          </c:val>
          <c:extLst>
            <c:ext xmlns:c16="http://schemas.microsoft.com/office/drawing/2014/chart" uri="{C3380CC4-5D6E-409C-BE32-E72D297353CC}">
              <c16:uniqueId val="{00000000-AC29-4CF8-A64F-204D0BA0D026}"/>
            </c:ext>
          </c:extLst>
        </c:ser>
        <c:ser>
          <c:idx val="1"/>
          <c:order val="1"/>
          <c:tx>
            <c:strRef>
              <c:f>Sheet1!$C$1</c:f>
              <c:strCache>
                <c:ptCount val="1"/>
                <c:pt idx="0">
                  <c:v>worried</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Getting arrested without reason</c:v>
                </c:pt>
                <c:pt idx="1">
                  <c:v>Local government making regulations not in favour of Ahmadiyya</c:v>
                </c:pt>
                <c:pt idx="2">
                  <c:v>Your worshipping place getting attacked</c:v>
                </c:pt>
                <c:pt idx="3">
                  <c:v>Threat of being killed</c:v>
                </c:pt>
                <c:pt idx="4">
                  <c:v>The safety of your home</c:v>
                </c:pt>
                <c:pt idx="5">
                  <c:v>Other Ahmadiyya member's safety</c:v>
                </c:pt>
                <c:pt idx="6">
                  <c:v>Your own safety</c:v>
                </c:pt>
                <c:pt idx="7">
                  <c:v>Worried about safety of your family</c:v>
                </c:pt>
              </c:strCache>
            </c:strRef>
          </c:cat>
          <c:val>
            <c:numRef>
              <c:f>Sheet1!$C$2:$C$9</c:f>
              <c:numCache>
                <c:formatCode>General</c:formatCode>
                <c:ptCount val="8"/>
                <c:pt idx="0">
                  <c:v>25.5</c:v>
                </c:pt>
                <c:pt idx="1">
                  <c:v>42</c:v>
                </c:pt>
                <c:pt idx="2">
                  <c:v>37.5</c:v>
                </c:pt>
                <c:pt idx="3">
                  <c:v>26.5</c:v>
                </c:pt>
                <c:pt idx="4">
                  <c:v>28.5</c:v>
                </c:pt>
                <c:pt idx="5">
                  <c:v>42.75</c:v>
                </c:pt>
                <c:pt idx="6">
                  <c:v>25</c:v>
                </c:pt>
                <c:pt idx="7">
                  <c:v>31.5</c:v>
                </c:pt>
              </c:numCache>
            </c:numRef>
          </c:val>
          <c:extLst>
            <c:ext xmlns:c16="http://schemas.microsoft.com/office/drawing/2014/chart" uri="{C3380CC4-5D6E-409C-BE32-E72D297353CC}">
              <c16:uniqueId val="{00000001-AC29-4CF8-A64F-204D0BA0D026}"/>
            </c:ext>
          </c:extLst>
        </c:ser>
        <c:ser>
          <c:idx val="2"/>
          <c:order val="2"/>
          <c:tx>
            <c:strRef>
              <c:f>Sheet1!$D$1</c:f>
              <c:strCache>
                <c:ptCount val="1"/>
                <c:pt idx="0">
                  <c:v>neutral</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Getting arrested without reason</c:v>
                </c:pt>
                <c:pt idx="1">
                  <c:v>Local government making regulations not in favour of Ahmadiyya</c:v>
                </c:pt>
                <c:pt idx="2">
                  <c:v>Your worshipping place getting attacked</c:v>
                </c:pt>
                <c:pt idx="3">
                  <c:v>Threat of being killed</c:v>
                </c:pt>
                <c:pt idx="4">
                  <c:v>The safety of your home</c:v>
                </c:pt>
                <c:pt idx="5">
                  <c:v>Other Ahmadiyya member's safety</c:v>
                </c:pt>
                <c:pt idx="6">
                  <c:v>Your own safety</c:v>
                </c:pt>
                <c:pt idx="7">
                  <c:v>Worried about safety of your family</c:v>
                </c:pt>
              </c:strCache>
            </c:strRef>
          </c:cat>
          <c:val>
            <c:numRef>
              <c:f>Sheet1!$D$2:$D$9</c:f>
              <c:numCache>
                <c:formatCode>General</c:formatCode>
                <c:ptCount val="8"/>
                <c:pt idx="0">
                  <c:v>11.75</c:v>
                </c:pt>
                <c:pt idx="1">
                  <c:v>6</c:v>
                </c:pt>
                <c:pt idx="2">
                  <c:v>5.75</c:v>
                </c:pt>
                <c:pt idx="3">
                  <c:v>12.75</c:v>
                </c:pt>
                <c:pt idx="4">
                  <c:v>18.25</c:v>
                </c:pt>
                <c:pt idx="5">
                  <c:v>9.25</c:v>
                </c:pt>
                <c:pt idx="6">
                  <c:v>21.5</c:v>
                </c:pt>
                <c:pt idx="7">
                  <c:v>18.25</c:v>
                </c:pt>
              </c:numCache>
            </c:numRef>
          </c:val>
          <c:extLst>
            <c:ext xmlns:c16="http://schemas.microsoft.com/office/drawing/2014/chart" uri="{C3380CC4-5D6E-409C-BE32-E72D297353CC}">
              <c16:uniqueId val="{00000002-AC29-4CF8-A64F-204D0BA0D026}"/>
            </c:ext>
          </c:extLst>
        </c:ser>
        <c:ser>
          <c:idx val="3"/>
          <c:order val="3"/>
          <c:tx>
            <c:strRef>
              <c:f>Sheet1!$E$1</c:f>
              <c:strCache>
                <c:ptCount val="1"/>
                <c:pt idx="0">
                  <c:v>not worried</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Getting arrested without reason</c:v>
                </c:pt>
                <c:pt idx="1">
                  <c:v>Local government making regulations not in favour of Ahmadiyya</c:v>
                </c:pt>
                <c:pt idx="2">
                  <c:v>Your worshipping place getting attacked</c:v>
                </c:pt>
                <c:pt idx="3">
                  <c:v>Threat of being killed</c:v>
                </c:pt>
                <c:pt idx="4">
                  <c:v>The safety of your home</c:v>
                </c:pt>
                <c:pt idx="5">
                  <c:v>Other Ahmadiyya member's safety</c:v>
                </c:pt>
                <c:pt idx="6">
                  <c:v>Your own safety</c:v>
                </c:pt>
                <c:pt idx="7">
                  <c:v>Worried about safety of your family</c:v>
                </c:pt>
              </c:strCache>
            </c:strRef>
          </c:cat>
          <c:val>
            <c:numRef>
              <c:f>Sheet1!$E$2:$E$9</c:f>
              <c:numCache>
                <c:formatCode>General</c:formatCode>
                <c:ptCount val="8"/>
                <c:pt idx="0">
                  <c:v>39.75</c:v>
                </c:pt>
                <c:pt idx="1">
                  <c:v>16</c:v>
                </c:pt>
                <c:pt idx="2">
                  <c:v>17.25</c:v>
                </c:pt>
                <c:pt idx="3">
                  <c:v>40.5</c:v>
                </c:pt>
                <c:pt idx="4">
                  <c:v>41.75</c:v>
                </c:pt>
                <c:pt idx="5">
                  <c:v>18.25</c:v>
                </c:pt>
                <c:pt idx="6">
                  <c:v>42.25</c:v>
                </c:pt>
                <c:pt idx="7">
                  <c:v>34.25</c:v>
                </c:pt>
              </c:numCache>
            </c:numRef>
          </c:val>
          <c:extLst>
            <c:ext xmlns:c16="http://schemas.microsoft.com/office/drawing/2014/chart" uri="{C3380CC4-5D6E-409C-BE32-E72D297353CC}">
              <c16:uniqueId val="{00000003-AC29-4CF8-A64F-204D0BA0D026}"/>
            </c:ext>
          </c:extLst>
        </c:ser>
        <c:ser>
          <c:idx val="4"/>
          <c:order val="4"/>
          <c:tx>
            <c:strRef>
              <c:f>Sheet1!$F$1</c:f>
              <c:strCache>
                <c:ptCount val="1"/>
                <c:pt idx="0">
                  <c:v>not worried at all</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Getting arrested without reason</c:v>
                </c:pt>
                <c:pt idx="1">
                  <c:v>Local government making regulations not in favour of Ahmadiyya</c:v>
                </c:pt>
                <c:pt idx="2">
                  <c:v>Your worshipping place getting attacked</c:v>
                </c:pt>
                <c:pt idx="3">
                  <c:v>Threat of being killed</c:v>
                </c:pt>
                <c:pt idx="4">
                  <c:v>The safety of your home</c:v>
                </c:pt>
                <c:pt idx="5">
                  <c:v>Other Ahmadiyya member's safety</c:v>
                </c:pt>
                <c:pt idx="6">
                  <c:v>Your own safety</c:v>
                </c:pt>
                <c:pt idx="7">
                  <c:v>Worried about safety of your family</c:v>
                </c:pt>
              </c:strCache>
            </c:strRef>
          </c:cat>
          <c:val>
            <c:numRef>
              <c:f>Sheet1!$F$2:$F$9</c:f>
              <c:numCache>
                <c:formatCode>General</c:formatCode>
                <c:ptCount val="8"/>
                <c:pt idx="0">
                  <c:v>5</c:v>
                </c:pt>
                <c:pt idx="1">
                  <c:v>1.75</c:v>
                </c:pt>
                <c:pt idx="2">
                  <c:v>2.5</c:v>
                </c:pt>
                <c:pt idx="3">
                  <c:v>6</c:v>
                </c:pt>
                <c:pt idx="4">
                  <c:v>5</c:v>
                </c:pt>
                <c:pt idx="5">
                  <c:v>2</c:v>
                </c:pt>
                <c:pt idx="6">
                  <c:v>4.25</c:v>
                </c:pt>
                <c:pt idx="7">
                  <c:v>3.5</c:v>
                </c:pt>
              </c:numCache>
            </c:numRef>
          </c:val>
          <c:extLst>
            <c:ext xmlns:c16="http://schemas.microsoft.com/office/drawing/2014/chart" uri="{C3380CC4-5D6E-409C-BE32-E72D297353CC}">
              <c16:uniqueId val="{00000004-AC29-4CF8-A64F-204D0BA0D026}"/>
            </c:ext>
          </c:extLst>
        </c:ser>
        <c:dLbls>
          <c:showLegendKey val="0"/>
          <c:showVal val="0"/>
          <c:showCatName val="0"/>
          <c:showSerName val="0"/>
          <c:showPercent val="0"/>
          <c:showBubbleSize val="0"/>
        </c:dLbls>
        <c:gapWidth val="150"/>
        <c:overlap val="100"/>
        <c:axId val="910544712"/>
        <c:axId val="910542416"/>
      </c:barChart>
      <c:catAx>
        <c:axId val="910544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910542416"/>
        <c:crosses val="autoZero"/>
        <c:auto val="1"/>
        <c:lblAlgn val="ctr"/>
        <c:lblOffset val="100"/>
        <c:noMultiLvlLbl val="0"/>
      </c:catAx>
      <c:valAx>
        <c:axId val="910542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0544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40867559312859"/>
          <c:y val="5.6194125159642401E-2"/>
          <c:w val="0.5005504508335803"/>
          <c:h val="0.71306014565080778"/>
        </c:manualLayout>
      </c:layout>
      <c:barChart>
        <c:barDir val="bar"/>
        <c:grouping val="percentStacked"/>
        <c:varyColors val="0"/>
        <c:ser>
          <c:idx val="0"/>
          <c:order val="0"/>
          <c:tx>
            <c:strRef>
              <c:f>Sheet1!$B$1</c:f>
              <c:strCache>
                <c:ptCount val="1"/>
                <c:pt idx="0">
                  <c:v>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reporting an incident of violence</c:v>
                </c:pt>
                <c:pt idx="1">
                  <c:v>2. reporting an incident of not receiving public services</c:v>
                </c:pt>
                <c:pt idx="2">
                  <c:v>1. reporting an accident of discrimination because you are an Ahmadiyya</c:v>
                </c:pt>
              </c:strCache>
            </c:strRef>
          </c:cat>
          <c:val>
            <c:numRef>
              <c:f>Sheet1!$B$2:$B$4</c:f>
              <c:numCache>
                <c:formatCode>General</c:formatCode>
                <c:ptCount val="3"/>
                <c:pt idx="0">
                  <c:v>88.75</c:v>
                </c:pt>
                <c:pt idx="1">
                  <c:v>81.25</c:v>
                </c:pt>
                <c:pt idx="2">
                  <c:v>78</c:v>
                </c:pt>
              </c:numCache>
            </c:numRef>
          </c:val>
          <c:extLst>
            <c:ext xmlns:c16="http://schemas.microsoft.com/office/drawing/2014/chart" uri="{C3380CC4-5D6E-409C-BE32-E72D297353CC}">
              <c16:uniqueId val="{00000000-4BE7-4E84-831F-66DADE58B587}"/>
            </c:ext>
          </c:extLst>
        </c:ser>
        <c:ser>
          <c:idx val="1"/>
          <c:order val="1"/>
          <c:tx>
            <c:strRef>
              <c:f>Sheet1!$C$1</c:f>
              <c:strCache>
                <c:ptCount val="1"/>
                <c:pt idx="0">
                  <c:v>yes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reporting an incident of violence</c:v>
                </c:pt>
                <c:pt idx="1">
                  <c:v>2. reporting an incident of not receiving public services</c:v>
                </c:pt>
                <c:pt idx="2">
                  <c:v>1. reporting an accident of discrimination because you are an Ahmadiyya</c:v>
                </c:pt>
              </c:strCache>
            </c:strRef>
          </c:cat>
          <c:val>
            <c:numRef>
              <c:f>Sheet1!$C$2:$C$4</c:f>
              <c:numCache>
                <c:formatCode>General</c:formatCode>
                <c:ptCount val="3"/>
                <c:pt idx="0">
                  <c:v>6</c:v>
                </c:pt>
                <c:pt idx="1">
                  <c:v>13.5</c:v>
                </c:pt>
                <c:pt idx="2">
                  <c:v>17.5</c:v>
                </c:pt>
              </c:numCache>
            </c:numRef>
          </c:val>
          <c:extLst>
            <c:ext xmlns:c16="http://schemas.microsoft.com/office/drawing/2014/chart" uri="{C3380CC4-5D6E-409C-BE32-E72D297353CC}">
              <c16:uniqueId val="{00000001-4BE7-4E84-831F-66DADE58B587}"/>
            </c:ext>
          </c:extLst>
        </c:ser>
        <c:ser>
          <c:idx val="2"/>
          <c:order val="2"/>
          <c:tx>
            <c:strRef>
              <c:f>Sheet1!$D$1</c:f>
              <c:strCache>
                <c:ptCount val="1"/>
                <c:pt idx="0">
                  <c:v>don't know</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reporting an incident of violence</c:v>
                </c:pt>
                <c:pt idx="1">
                  <c:v>2. reporting an incident of not receiving public services</c:v>
                </c:pt>
                <c:pt idx="2">
                  <c:v>1. reporting an accident of discrimination because you are an Ahmadiyya</c:v>
                </c:pt>
              </c:strCache>
            </c:strRef>
          </c:cat>
          <c:val>
            <c:numRef>
              <c:f>Sheet1!$D$2:$D$4</c:f>
              <c:numCache>
                <c:formatCode>General</c:formatCode>
                <c:ptCount val="3"/>
                <c:pt idx="0">
                  <c:v>5.25</c:v>
                </c:pt>
                <c:pt idx="1">
                  <c:v>5.25</c:v>
                </c:pt>
                <c:pt idx="2">
                  <c:v>4.5</c:v>
                </c:pt>
              </c:numCache>
            </c:numRef>
          </c:val>
          <c:extLst>
            <c:ext xmlns:c16="http://schemas.microsoft.com/office/drawing/2014/chart" uri="{C3380CC4-5D6E-409C-BE32-E72D297353CC}">
              <c16:uniqueId val="{00000002-4BE7-4E84-831F-66DADE58B587}"/>
            </c:ext>
          </c:extLst>
        </c:ser>
        <c:dLbls>
          <c:showLegendKey val="0"/>
          <c:showVal val="0"/>
          <c:showCatName val="0"/>
          <c:showSerName val="0"/>
          <c:showPercent val="0"/>
          <c:showBubbleSize val="0"/>
        </c:dLbls>
        <c:gapWidth val="150"/>
        <c:overlap val="100"/>
        <c:axId val="831602536"/>
        <c:axId val="831602864"/>
      </c:barChart>
      <c:catAx>
        <c:axId val="831602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602864"/>
        <c:crosses val="autoZero"/>
        <c:auto val="1"/>
        <c:lblAlgn val="ctr"/>
        <c:lblOffset val="100"/>
        <c:noMultiLvlLbl val="0"/>
      </c:catAx>
      <c:valAx>
        <c:axId val="831602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1602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Sheet1!$A$2:$B$17</cx:f>
        <cx:lvl ptCount="16">
          <cx:pt idx="0">under 18 years old</cx:pt>
          <cx:pt idx="1">18-25 years</cx:pt>
          <cx:pt idx="2">26-40 years</cx:pt>
          <cx:pt idx="3">41-60 years</cx:pt>
          <cx:pt idx="4"> above 60 years old</cx:pt>
        </cx:lvl>
        <cx:lvl ptCount="16">
          <cx:pt idx="1">8.50%</cx:pt>
          <cx:pt idx="2">31.25%</cx:pt>
          <cx:pt idx="3">47.25%</cx:pt>
          <cx:pt idx="4">13%</cx:pt>
        </cx:lvl>
        <cx:lvl ptCount="0"/>
      </cx:strDim>
      <cx:numDim type="size">
        <cx:f>Sheet1!$C$2:$C$17</cx:f>
        <cx:lvl ptCount="16" formatCode="General">
          <cx:pt idx="0">2</cx:pt>
          <cx:pt idx="1">32</cx:pt>
          <cx:pt idx="2">125</cx:pt>
          <cx:pt idx="3">189</cx:pt>
          <cx:pt idx="4">52</cx:pt>
        </cx:lvl>
      </cx:numDim>
    </cx:data>
  </cx:chartData>
  <cx:chart>
    <cx:plotArea>
      <cx:plotAreaRegion>
        <cx:plotSurface>
          <cx:spPr>
            <a:ln>
              <a:noFill/>
            </a:ln>
          </cx:spPr>
        </cx:plotSurface>
        <cx:series layoutId="sunburst" uniqueId="{04729D3E-6D29-4FA8-A573-A4780417CB3A}">
          <cx:tx>
            <cx:txData>
              <cx:f>Sheet1!$C$1</cx:f>
              <cx:v>Age categories</cx:v>
            </cx:txData>
          </cx:tx>
          <cx:dataPt idx="0">
            <cx:spPr>
              <a:solidFill>
                <a:srgbClr val="3597EB">
                  <a:lumMod val="60000"/>
                  <a:lumOff val="40000"/>
                </a:srgbClr>
              </a:solidFill>
            </cx:spPr>
          </cx:dataPt>
          <cx:dataPt idx="2">
            <cx:spPr>
              <a:solidFill>
                <a:srgbClr val="3597EB">
                  <a:lumMod val="60000"/>
                  <a:lumOff val="40000"/>
                </a:srgbClr>
              </a:solidFill>
            </cx:spPr>
          </cx:dataPt>
          <cx:dataPt idx="3">
            <cx:spPr>
              <a:solidFill>
                <a:srgbClr val="BE7384">
                  <a:lumMod val="40000"/>
                  <a:lumOff val="60000"/>
                </a:srgbClr>
              </a:solidFill>
            </cx:spPr>
          </cx:dataPt>
          <cx:dataPt idx="4">
            <cx:spPr>
              <a:solidFill>
                <a:srgbClr val="BE7384">
                  <a:lumMod val="75000"/>
                </a:srgbClr>
              </a:solidFill>
            </cx:spPr>
          </cx:dataPt>
          <cx:dataPt idx="5">
            <cx:spPr>
              <a:solidFill>
                <a:srgbClr val="538135">
                  <a:lumMod val="20000"/>
                  <a:lumOff val="80000"/>
                </a:srgbClr>
              </a:solidFill>
            </cx:spPr>
          </cx:dataPt>
          <cx:dataPt idx="6">
            <cx:spPr>
              <a:solidFill>
                <a:srgbClr val="538135">
                  <a:lumMod val="60000"/>
                  <a:lumOff val="40000"/>
                </a:srgbClr>
              </a:solidFill>
            </cx:spPr>
          </cx:dataPt>
          <cx:dataPt idx="8">
            <cx:spPr>
              <a:solidFill>
                <a:srgbClr val="538135">
                  <a:lumMod val="75000"/>
                </a:srgbClr>
              </a:solidFill>
            </cx:spPr>
          </cx:dataPt>
          <cx:dataLabels pos="ctr">
            <cx:visibility seriesName="0" categoryName="1" value="0"/>
            <cx:dataLabel idx="3">
              <cx:txPr>
                <a:bodyPr spcFirstLastPara="1" vertOverflow="ellipsis" wrap="square" lIns="0" tIns="0" rIns="0" bIns="0" anchor="ctr" anchorCtr="1"/>
                <a:lstStyle/>
                <a:p>
                  <a:pPr>
                    <a:defRPr b="1">
                      <a:solidFill>
                        <a:sysClr val="windowText" lastClr="000000"/>
                      </a:solidFill>
                    </a:defRPr>
                  </a:pPr>
                  <a:r>
                    <a:rPr lang="fr-FR" b="1">
                      <a:solidFill>
                        <a:sysClr val="windowText" lastClr="000000"/>
                      </a:solidFill>
                    </a:rPr>
                    <a:t>31.25%</a:t>
                  </a:r>
                </a:p>
              </cx:txPr>
              <cx:visibility seriesName="0" categoryName="1" value="0"/>
            </cx:dataLabel>
            <cx:dataLabel idx="5">
              <cx:txPr>
                <a:bodyPr spcFirstLastPara="1" vertOverflow="ellipsis" wrap="square" lIns="0" tIns="0" rIns="0" bIns="0" anchor="ctr" anchorCtr="1"/>
                <a:lstStyle/>
                <a:p>
                  <a:pPr>
                    <a:defRPr b="1">
                      <a:solidFill>
                        <a:sysClr val="windowText" lastClr="000000"/>
                      </a:solidFill>
                    </a:defRPr>
                  </a:pPr>
                  <a:r>
                    <a:rPr lang="fr-FR" b="1">
                      <a:solidFill>
                        <a:sysClr val="windowText" lastClr="000000"/>
                      </a:solidFill>
                    </a:rPr>
                    <a:t>47.25%</a:t>
                  </a:r>
                </a:p>
              </cx:txPr>
              <cx:visibility seriesName="0" categoryName="1" value="0"/>
            </cx:dataLabel>
          </cx:dataLabels>
          <cx:dataId val="0"/>
        </cx:series>
      </cx:plotAreaRegion>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D3CB25-52FD-4004-BA64-442DFF7F1DA8}" type="doc">
      <dgm:prSet loTypeId="urn:microsoft.com/office/officeart/2005/8/layout/chart3" loCatId="cycle" qsTypeId="urn:microsoft.com/office/officeart/2005/8/quickstyle/simple1" qsCatId="simple" csTypeId="urn:microsoft.com/office/officeart/2005/8/colors/colorful1" csCatId="colorful" phldr="1"/>
      <dgm:spPr/>
    </dgm:pt>
    <dgm:pt modelId="{23BA4D9A-4355-43BD-B8DB-DB5E5F6B829D}">
      <dgm:prSet phldrT="[Text]"/>
      <dgm:spPr>
        <a:xfrm>
          <a:off x="1854739" y="296279"/>
          <a:ext cx="2656332" cy="2656332"/>
        </a:xfrm>
        <a:prstGeom prst="pie">
          <a:avLst>
            <a:gd name="adj1" fmla="val 16200000"/>
            <a:gd name="adj2" fmla="val 1800000"/>
          </a:avLst>
        </a:prstGeom>
        <a:solidFill>
          <a:srgbClr val="3597EB">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US">
              <a:solidFill>
                <a:srgbClr val="FFFFFF"/>
              </a:solidFill>
              <a:latin typeface="Calibri" panose="020F0502020204030204"/>
              <a:ea typeface="+mn-ea"/>
              <a:cs typeface="+mn-cs"/>
            </a:rPr>
            <a:t>35% ever experienced violence in the last 5 years</a:t>
          </a:r>
        </a:p>
      </dgm:t>
    </dgm:pt>
    <dgm:pt modelId="{61ADD577-E1E4-4671-B65A-94B21F1525D8}" type="parTrans" cxnId="{B1AB1FC3-06ED-401A-BE1B-2030BB9102AD}">
      <dgm:prSet/>
      <dgm:spPr/>
      <dgm:t>
        <a:bodyPr/>
        <a:lstStyle/>
        <a:p>
          <a:endParaRPr lang="en-US"/>
        </a:p>
      </dgm:t>
    </dgm:pt>
    <dgm:pt modelId="{C592944F-A32C-48BE-8618-507FF94AE8A8}" type="sibTrans" cxnId="{B1AB1FC3-06ED-401A-BE1B-2030BB9102AD}">
      <dgm:prSet/>
      <dgm:spPr/>
      <dgm:t>
        <a:bodyPr/>
        <a:lstStyle/>
        <a:p>
          <a:endParaRPr lang="en-US"/>
        </a:p>
      </dgm:t>
    </dgm:pt>
    <dgm:pt modelId="{76674B5A-3251-4DA7-9DAD-38AE591F5D2E}">
      <dgm:prSet phldrT="[Text]"/>
      <dgm:spPr>
        <a:xfrm>
          <a:off x="1857110" y="292512"/>
          <a:ext cx="2656332" cy="2656332"/>
        </a:xfrm>
        <a:prstGeom prst="pie">
          <a:avLst>
            <a:gd name="adj1" fmla="val 1800000"/>
            <a:gd name="adj2" fmla="val 9000000"/>
          </a:avLst>
        </a:prstGeom>
        <a:solidFill>
          <a:srgbClr val="666666">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US">
              <a:solidFill>
                <a:srgbClr val="FFFFFF"/>
              </a:solidFill>
              <a:latin typeface="Calibri" panose="020F0502020204030204"/>
              <a:ea typeface="+mn-ea"/>
              <a:cs typeface="+mn-cs"/>
            </a:rPr>
            <a:t>71,25% lives in harmony with other community members</a:t>
          </a:r>
        </a:p>
      </dgm:t>
    </dgm:pt>
    <dgm:pt modelId="{2AE0C236-B3C2-4E25-BE67-82A10D981DF1}" type="parTrans" cxnId="{59F89C50-A963-4A9F-A303-D948FE87A853}">
      <dgm:prSet/>
      <dgm:spPr/>
      <dgm:t>
        <a:bodyPr/>
        <a:lstStyle/>
        <a:p>
          <a:endParaRPr lang="en-US"/>
        </a:p>
      </dgm:t>
    </dgm:pt>
    <dgm:pt modelId="{920D67AB-8902-49D0-9491-D2740A23B50A}" type="sibTrans" cxnId="{59F89C50-A963-4A9F-A303-D948FE87A853}">
      <dgm:prSet/>
      <dgm:spPr/>
      <dgm:t>
        <a:bodyPr/>
        <a:lstStyle/>
        <a:p>
          <a:endParaRPr lang="en-US"/>
        </a:p>
      </dgm:t>
    </dgm:pt>
    <dgm:pt modelId="{7F527659-ED32-4E71-B058-D01819794A77}">
      <dgm:prSet phldrT="[Text]"/>
      <dgm:spPr>
        <a:xfrm>
          <a:off x="1857110" y="292512"/>
          <a:ext cx="2656332" cy="2656332"/>
        </a:xfrm>
        <a:prstGeom prst="pie">
          <a:avLst>
            <a:gd name="adj1" fmla="val 9000000"/>
            <a:gd name="adj2" fmla="val 16200000"/>
          </a:avLst>
        </a:prstGeom>
        <a:solidFill>
          <a:srgbClr val="BE7384">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en-US">
              <a:solidFill>
                <a:srgbClr val="FFFFFF"/>
              </a:solidFill>
              <a:latin typeface="Calibri" panose="020F0502020204030204"/>
              <a:ea typeface="+mn-ea"/>
              <a:cs typeface="+mn-cs"/>
            </a:rPr>
            <a:t>58,75% ever felt discriminated in the last 5 years</a:t>
          </a:r>
        </a:p>
      </dgm:t>
    </dgm:pt>
    <dgm:pt modelId="{7B64A9BE-02D3-4748-9EF1-DB693297F80C}" type="parTrans" cxnId="{AF9A36EA-D9B6-493B-8CE8-9FC3B9977AEE}">
      <dgm:prSet/>
      <dgm:spPr/>
      <dgm:t>
        <a:bodyPr/>
        <a:lstStyle/>
        <a:p>
          <a:endParaRPr lang="en-US"/>
        </a:p>
      </dgm:t>
    </dgm:pt>
    <dgm:pt modelId="{CB44CE6B-BFD9-48F8-B699-A117F328DDE5}" type="sibTrans" cxnId="{AF9A36EA-D9B6-493B-8CE8-9FC3B9977AEE}">
      <dgm:prSet/>
      <dgm:spPr/>
      <dgm:t>
        <a:bodyPr/>
        <a:lstStyle/>
        <a:p>
          <a:endParaRPr lang="en-US"/>
        </a:p>
      </dgm:t>
    </dgm:pt>
    <dgm:pt modelId="{8EE0BCC4-F687-49ED-9378-134EAE1CF2E2}" type="pres">
      <dgm:prSet presAssocID="{E2D3CB25-52FD-4004-BA64-442DFF7F1DA8}" presName="compositeShape" presStyleCnt="0">
        <dgm:presLayoutVars>
          <dgm:chMax val="7"/>
          <dgm:dir/>
          <dgm:resizeHandles val="exact"/>
        </dgm:presLayoutVars>
      </dgm:prSet>
      <dgm:spPr/>
    </dgm:pt>
    <dgm:pt modelId="{C77A2C10-5C86-476C-A1DF-8F778512DCEE}" type="pres">
      <dgm:prSet presAssocID="{E2D3CB25-52FD-4004-BA64-442DFF7F1DA8}" presName="wedge1" presStyleLbl="node1" presStyleIdx="0" presStyleCnt="3" custLinFactNeighborX="-5244" custLinFactNeighborY="3118"/>
      <dgm:spPr/>
    </dgm:pt>
    <dgm:pt modelId="{B0B258B0-B0A7-4A70-946B-9BCE22D549F5}" type="pres">
      <dgm:prSet presAssocID="{E2D3CB25-52FD-4004-BA64-442DFF7F1DA8}" presName="wedge1Tx" presStyleLbl="node1" presStyleIdx="0" presStyleCnt="3">
        <dgm:presLayoutVars>
          <dgm:chMax val="0"/>
          <dgm:chPref val="0"/>
          <dgm:bulletEnabled val="1"/>
        </dgm:presLayoutVars>
      </dgm:prSet>
      <dgm:spPr/>
    </dgm:pt>
    <dgm:pt modelId="{B7354637-A700-4826-9502-BF6885B71E9C}" type="pres">
      <dgm:prSet presAssocID="{E2D3CB25-52FD-4004-BA64-442DFF7F1DA8}" presName="wedge2" presStyleLbl="node1" presStyleIdx="1" presStyleCnt="3"/>
      <dgm:spPr/>
    </dgm:pt>
    <dgm:pt modelId="{83907C7C-78D2-4B2F-8B14-67FCEE79405C}" type="pres">
      <dgm:prSet presAssocID="{E2D3CB25-52FD-4004-BA64-442DFF7F1DA8}" presName="wedge2Tx" presStyleLbl="node1" presStyleIdx="1" presStyleCnt="3">
        <dgm:presLayoutVars>
          <dgm:chMax val="0"/>
          <dgm:chPref val="0"/>
          <dgm:bulletEnabled val="1"/>
        </dgm:presLayoutVars>
      </dgm:prSet>
      <dgm:spPr/>
    </dgm:pt>
    <dgm:pt modelId="{21D1AEE3-6BD1-4599-B75F-FA8C26E3AE50}" type="pres">
      <dgm:prSet presAssocID="{E2D3CB25-52FD-4004-BA64-442DFF7F1DA8}" presName="wedge3" presStyleLbl="node1" presStyleIdx="2" presStyleCnt="3"/>
      <dgm:spPr/>
    </dgm:pt>
    <dgm:pt modelId="{C047E41A-6B7F-4E5A-8FA5-A049F7830019}" type="pres">
      <dgm:prSet presAssocID="{E2D3CB25-52FD-4004-BA64-442DFF7F1DA8}" presName="wedge3Tx" presStyleLbl="node1" presStyleIdx="2" presStyleCnt="3">
        <dgm:presLayoutVars>
          <dgm:chMax val="0"/>
          <dgm:chPref val="0"/>
          <dgm:bulletEnabled val="1"/>
        </dgm:presLayoutVars>
      </dgm:prSet>
      <dgm:spPr/>
    </dgm:pt>
  </dgm:ptLst>
  <dgm:cxnLst>
    <dgm:cxn modelId="{226EE72B-3201-44C0-AA83-093DD6D28A32}" type="presOf" srcId="{7F527659-ED32-4E71-B058-D01819794A77}" destId="{C047E41A-6B7F-4E5A-8FA5-A049F7830019}" srcOrd="1" destOrd="0" presId="urn:microsoft.com/office/officeart/2005/8/layout/chart3"/>
    <dgm:cxn modelId="{6D80D16F-C8A0-4E03-884D-21A7B24A98FA}" type="presOf" srcId="{76674B5A-3251-4DA7-9DAD-38AE591F5D2E}" destId="{B7354637-A700-4826-9502-BF6885B71E9C}" srcOrd="0" destOrd="0" presId="urn:microsoft.com/office/officeart/2005/8/layout/chart3"/>
    <dgm:cxn modelId="{59F89C50-A963-4A9F-A303-D948FE87A853}" srcId="{E2D3CB25-52FD-4004-BA64-442DFF7F1DA8}" destId="{76674B5A-3251-4DA7-9DAD-38AE591F5D2E}" srcOrd="1" destOrd="0" parTransId="{2AE0C236-B3C2-4E25-BE67-82A10D981DF1}" sibTransId="{920D67AB-8902-49D0-9491-D2740A23B50A}"/>
    <dgm:cxn modelId="{82473054-0B55-44EA-90D8-1D0014C3B7C4}" type="presOf" srcId="{23BA4D9A-4355-43BD-B8DB-DB5E5F6B829D}" destId="{B0B258B0-B0A7-4A70-946B-9BCE22D549F5}" srcOrd="1" destOrd="0" presId="urn:microsoft.com/office/officeart/2005/8/layout/chart3"/>
    <dgm:cxn modelId="{D907337C-03B6-4FB9-959D-8269E579BAE6}" type="presOf" srcId="{23BA4D9A-4355-43BD-B8DB-DB5E5F6B829D}" destId="{C77A2C10-5C86-476C-A1DF-8F778512DCEE}" srcOrd="0" destOrd="0" presId="urn:microsoft.com/office/officeart/2005/8/layout/chart3"/>
    <dgm:cxn modelId="{BCC7C18D-FD35-405D-B0D1-2A54FE002570}" type="presOf" srcId="{E2D3CB25-52FD-4004-BA64-442DFF7F1DA8}" destId="{8EE0BCC4-F687-49ED-9378-134EAE1CF2E2}" srcOrd="0" destOrd="0" presId="urn:microsoft.com/office/officeart/2005/8/layout/chart3"/>
    <dgm:cxn modelId="{B1AB1FC3-06ED-401A-BE1B-2030BB9102AD}" srcId="{E2D3CB25-52FD-4004-BA64-442DFF7F1DA8}" destId="{23BA4D9A-4355-43BD-B8DB-DB5E5F6B829D}" srcOrd="0" destOrd="0" parTransId="{61ADD577-E1E4-4671-B65A-94B21F1525D8}" sibTransId="{C592944F-A32C-48BE-8618-507FF94AE8A8}"/>
    <dgm:cxn modelId="{581B43C3-C230-46C6-9C39-89FC64957193}" type="presOf" srcId="{76674B5A-3251-4DA7-9DAD-38AE591F5D2E}" destId="{83907C7C-78D2-4B2F-8B14-67FCEE79405C}" srcOrd="1" destOrd="0" presId="urn:microsoft.com/office/officeart/2005/8/layout/chart3"/>
    <dgm:cxn modelId="{AF9A36EA-D9B6-493B-8CE8-9FC3B9977AEE}" srcId="{E2D3CB25-52FD-4004-BA64-442DFF7F1DA8}" destId="{7F527659-ED32-4E71-B058-D01819794A77}" srcOrd="2" destOrd="0" parTransId="{7B64A9BE-02D3-4748-9EF1-DB693297F80C}" sibTransId="{CB44CE6B-BFD9-48F8-B699-A117F328DDE5}"/>
    <dgm:cxn modelId="{E2994BF2-CD5E-40C2-A572-4BDF5E18F1D0}" type="presOf" srcId="{7F527659-ED32-4E71-B058-D01819794A77}" destId="{21D1AEE3-6BD1-4599-B75F-FA8C26E3AE50}" srcOrd="0" destOrd="0" presId="urn:microsoft.com/office/officeart/2005/8/layout/chart3"/>
    <dgm:cxn modelId="{7AF8B8D6-EC78-4165-A04C-5CA602D00215}" type="presParOf" srcId="{8EE0BCC4-F687-49ED-9378-134EAE1CF2E2}" destId="{C77A2C10-5C86-476C-A1DF-8F778512DCEE}" srcOrd="0" destOrd="0" presId="urn:microsoft.com/office/officeart/2005/8/layout/chart3"/>
    <dgm:cxn modelId="{74E5BAE4-43E6-4EA3-BC78-A44ADE81D68D}" type="presParOf" srcId="{8EE0BCC4-F687-49ED-9378-134EAE1CF2E2}" destId="{B0B258B0-B0A7-4A70-946B-9BCE22D549F5}" srcOrd="1" destOrd="0" presId="urn:microsoft.com/office/officeart/2005/8/layout/chart3"/>
    <dgm:cxn modelId="{405F7A3B-26FF-4E75-952D-2528C67E1BB8}" type="presParOf" srcId="{8EE0BCC4-F687-49ED-9378-134EAE1CF2E2}" destId="{B7354637-A700-4826-9502-BF6885B71E9C}" srcOrd="2" destOrd="0" presId="urn:microsoft.com/office/officeart/2005/8/layout/chart3"/>
    <dgm:cxn modelId="{AFC2D860-27E9-4A5F-B542-39338FC31007}" type="presParOf" srcId="{8EE0BCC4-F687-49ED-9378-134EAE1CF2E2}" destId="{83907C7C-78D2-4B2F-8B14-67FCEE79405C}" srcOrd="3" destOrd="0" presId="urn:microsoft.com/office/officeart/2005/8/layout/chart3"/>
    <dgm:cxn modelId="{30B4D227-0B18-41D3-BB85-5BC24D677E04}" type="presParOf" srcId="{8EE0BCC4-F687-49ED-9378-134EAE1CF2E2}" destId="{21D1AEE3-6BD1-4599-B75F-FA8C26E3AE50}" srcOrd="4" destOrd="0" presId="urn:microsoft.com/office/officeart/2005/8/layout/chart3"/>
    <dgm:cxn modelId="{12F88B05-ED11-40F5-B7F4-B4B4A54AF178}" type="presParOf" srcId="{8EE0BCC4-F687-49ED-9378-134EAE1CF2E2}" destId="{C047E41A-6B7F-4E5A-8FA5-A049F7830019}" srcOrd="5" destOrd="0" presId="urn:microsoft.com/office/officeart/2005/8/layout/char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7A2C10-5C86-476C-A1DF-8F778512DCEE}">
      <dsp:nvSpPr>
        <dsp:cNvPr id="0" name=""/>
        <dsp:cNvSpPr/>
      </dsp:nvSpPr>
      <dsp:spPr>
        <a:xfrm>
          <a:off x="1854739" y="296279"/>
          <a:ext cx="2656332" cy="2656332"/>
        </a:xfrm>
        <a:prstGeom prst="pie">
          <a:avLst>
            <a:gd name="adj1" fmla="val 16200000"/>
            <a:gd name="adj2" fmla="val 1800000"/>
          </a:avLst>
        </a:prstGeom>
        <a:solidFill>
          <a:srgbClr val="3597EB">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FFFFFF"/>
              </a:solidFill>
              <a:latin typeface="Calibri" panose="020F0502020204030204"/>
              <a:ea typeface="+mn-ea"/>
              <a:cs typeface="+mn-cs"/>
            </a:rPr>
            <a:t>35% ever experienced violence in the last 5 years</a:t>
          </a:r>
        </a:p>
      </dsp:txBody>
      <dsp:txXfrm>
        <a:off x="3430948" y="916106"/>
        <a:ext cx="637283" cy="626104"/>
      </dsp:txXfrm>
    </dsp:sp>
    <dsp:sp modelId="{B7354637-A700-4826-9502-BF6885B71E9C}">
      <dsp:nvSpPr>
        <dsp:cNvPr id="0" name=""/>
        <dsp:cNvSpPr/>
      </dsp:nvSpPr>
      <dsp:spPr>
        <a:xfrm>
          <a:off x="1857110" y="292512"/>
          <a:ext cx="2656332" cy="2656332"/>
        </a:xfrm>
        <a:prstGeom prst="pie">
          <a:avLst>
            <a:gd name="adj1" fmla="val 1800000"/>
            <a:gd name="adj2" fmla="val 9000000"/>
          </a:avLst>
        </a:prstGeom>
        <a:solidFill>
          <a:srgbClr val="666666">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FFFFFF"/>
              </a:solidFill>
              <a:latin typeface="Calibri" panose="020F0502020204030204"/>
              <a:ea typeface="+mn-ea"/>
              <a:cs typeface="+mn-cs"/>
            </a:rPr>
            <a:t>71,25% lives in harmony with other community members</a:t>
          </a:r>
        </a:p>
      </dsp:txBody>
      <dsp:txXfrm>
        <a:off x="2760420" y="2088939"/>
        <a:ext cx="849712" cy="581382"/>
      </dsp:txXfrm>
    </dsp:sp>
    <dsp:sp modelId="{21D1AEE3-6BD1-4599-B75F-FA8C26E3AE50}">
      <dsp:nvSpPr>
        <dsp:cNvPr id="0" name=""/>
        <dsp:cNvSpPr/>
      </dsp:nvSpPr>
      <dsp:spPr>
        <a:xfrm>
          <a:off x="1857110" y="292512"/>
          <a:ext cx="2656332" cy="2656332"/>
        </a:xfrm>
        <a:prstGeom prst="pie">
          <a:avLst>
            <a:gd name="adj1" fmla="val 9000000"/>
            <a:gd name="adj2" fmla="val 16200000"/>
          </a:avLst>
        </a:prstGeom>
        <a:solidFill>
          <a:srgbClr val="BE7384">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FFFFFF"/>
              </a:solidFill>
              <a:latin typeface="Calibri" panose="020F0502020204030204"/>
              <a:ea typeface="+mn-ea"/>
              <a:cs typeface="+mn-cs"/>
            </a:rPr>
            <a:t>58,75% ever felt discriminated in the last 5 years</a:t>
          </a:r>
        </a:p>
      </dsp:txBody>
      <dsp:txXfrm>
        <a:off x="2273703" y="943962"/>
        <a:ext cx="637283" cy="626104"/>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Farsight">
      <a:dk1>
        <a:sysClr val="windowText" lastClr="000000"/>
      </a:dk1>
      <a:lt1>
        <a:srgbClr val="FFFFFF"/>
      </a:lt1>
      <a:dk2>
        <a:srgbClr val="DF7D52"/>
      </a:dk2>
      <a:lt2>
        <a:srgbClr val="FFD38B"/>
      </a:lt2>
      <a:accent1>
        <a:srgbClr val="EFA261"/>
      </a:accent1>
      <a:accent2>
        <a:srgbClr val="3597EB"/>
      </a:accent2>
      <a:accent3>
        <a:srgbClr val="666666"/>
      </a:accent3>
      <a:accent4>
        <a:srgbClr val="BE7384"/>
      </a:accent4>
      <a:accent5>
        <a:srgbClr val="E46B6B"/>
      </a:accent5>
      <a:accent6>
        <a:srgbClr val="538135"/>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Farsight">
    <a:dk1>
      <a:sysClr val="windowText" lastClr="000000"/>
    </a:dk1>
    <a:lt1>
      <a:srgbClr val="FFFFFF"/>
    </a:lt1>
    <a:dk2>
      <a:srgbClr val="DF7D52"/>
    </a:dk2>
    <a:lt2>
      <a:srgbClr val="FFD38B"/>
    </a:lt2>
    <a:accent1>
      <a:srgbClr val="EFA261"/>
    </a:accent1>
    <a:accent2>
      <a:srgbClr val="3597EB"/>
    </a:accent2>
    <a:accent3>
      <a:srgbClr val="666666"/>
    </a:accent3>
    <a:accent4>
      <a:srgbClr val="BE7384"/>
    </a:accent4>
    <a:accent5>
      <a:srgbClr val="E46B6B"/>
    </a:accent5>
    <a:accent6>
      <a:srgbClr val="538135"/>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3BB1F-14E4-4A83-9934-C32FF903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Farsight empty template for publications</Template>
  <TotalTime>10</TotalTime>
  <Pages>64</Pages>
  <Words>19582</Words>
  <Characters>111620</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van Rossum</dc:creator>
  <cp:keywords/>
  <dc:description/>
  <cp:lastModifiedBy>Thomas van Rossum</cp:lastModifiedBy>
  <cp:revision>2</cp:revision>
  <cp:lastPrinted>2017-03-15T07:09:00Z</cp:lastPrinted>
  <dcterms:created xsi:type="dcterms:W3CDTF">2017-04-04T05:38:00Z</dcterms:created>
  <dcterms:modified xsi:type="dcterms:W3CDTF">2017-04-04T05:38:00Z</dcterms:modified>
</cp:coreProperties>
</file>